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rFonts w:hint="eastAsia"/>
          <w:sz w:val="56"/>
          <w:szCs w:val="56"/>
          <w:lang w:val="zh-CN"/>
        </w:rPr>
        <w:t>服务类</w:t>
      </w: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  <w:lang w:val="zh-CN"/>
        </w:rPr>
      </w:pPr>
      <w:r>
        <w:rPr>
          <w:rFonts w:hint="eastAsia" w:ascii="宋体"/>
          <w:sz w:val="40"/>
          <w:szCs w:val="56"/>
          <w:lang w:val="zh-CN"/>
        </w:rPr>
        <w:t>项目名称：集中供水（纯水）设备维</w:t>
      </w:r>
      <w:r>
        <w:rPr>
          <w:rFonts w:ascii="宋体"/>
          <w:sz w:val="40"/>
          <w:szCs w:val="56"/>
          <w:lang w:val="zh-CN"/>
        </w:rPr>
        <w:t>保服务</w:t>
      </w:r>
    </w:p>
    <w:p>
      <w:pPr>
        <w:bidi w:val="0"/>
        <w:rPr>
          <w:rFonts w:ascii="Times New Roman" w:hAnsi="Times New Roman" w:eastAsia="宋体" w:cs="Times New Roman"/>
          <w:kern w:val="2"/>
          <w:sz w:val="21"/>
          <w:szCs w:val="24"/>
          <w:lang w:val="zh-CN" w:eastAsia="zh-CN" w:bidi="ar-SA"/>
        </w:rPr>
      </w:pPr>
    </w:p>
    <w:p>
      <w:pPr>
        <w:bidi w:val="0"/>
        <w:rPr>
          <w:lang w:val="zh-CN" w:eastAsia="zh-CN"/>
        </w:rPr>
      </w:pPr>
    </w:p>
    <w:p>
      <w:pPr>
        <w:bidi w:val="0"/>
        <w:rPr>
          <w:lang w:val="zh-CN" w:eastAsia="zh-CN"/>
        </w:rPr>
      </w:pPr>
    </w:p>
    <w:p>
      <w:pPr>
        <w:bidi w:val="0"/>
        <w:rPr>
          <w:lang w:val="zh-CN" w:eastAsia="zh-CN"/>
        </w:rPr>
      </w:pPr>
    </w:p>
    <w:p>
      <w:pPr>
        <w:tabs>
          <w:tab w:val="center" w:pos="4153"/>
        </w:tabs>
        <w:bidi w:val="0"/>
        <w:jc w:val="left"/>
        <w:rPr>
          <w:lang w:val="zh-CN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lang w:val="zh-CN" w:eastAsia="zh-CN"/>
        </w:rPr>
        <w:tab/>
      </w: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6"/>
        <w:tblW w:w="4985" w:type="pct"/>
        <w:tblInd w:w="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514"/>
        <w:gridCol w:w="1274"/>
        <w:gridCol w:w="3545"/>
        <w:gridCol w:w="14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" w:type="pc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序号</w:t>
            </w:r>
          </w:p>
        </w:tc>
        <w:tc>
          <w:tcPr>
            <w:tcW w:w="891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项目名称</w:t>
            </w:r>
          </w:p>
        </w:tc>
        <w:tc>
          <w:tcPr>
            <w:tcW w:w="750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采购方式</w:t>
            </w:r>
          </w:p>
        </w:tc>
        <w:tc>
          <w:tcPr>
            <w:tcW w:w="2086" w:type="pct"/>
            <w:tcBorders>
              <w:bottom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服务要求</w:t>
            </w:r>
          </w:p>
        </w:tc>
        <w:tc>
          <w:tcPr>
            <w:tcW w:w="863" w:type="pct"/>
            <w:shd w:val="clear" w:color="000000" w:fill="FFFFFF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最高限价（万元）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10" w:type="pct"/>
            <w:vMerge w:val="restar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1</w:t>
            </w:r>
          </w:p>
        </w:tc>
        <w:tc>
          <w:tcPr>
            <w:tcW w:w="891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集中供水（纯水）设备维</w:t>
            </w:r>
            <w:r>
              <w:rPr>
                <w:rFonts w:ascii="仿宋_GB2312" w:eastAsia="仿宋_GB2312"/>
                <w:sz w:val="24"/>
                <w:szCs w:val="21"/>
              </w:rPr>
              <w:t>保服务</w:t>
            </w:r>
          </w:p>
        </w:tc>
        <w:tc>
          <w:tcPr>
            <w:tcW w:w="750" w:type="pct"/>
            <w:vMerge w:val="restart"/>
            <w:tcBorders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院内询价</w:t>
            </w:r>
          </w:p>
        </w:tc>
        <w:tc>
          <w:tcPr>
            <w:tcW w:w="2086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期限</w:t>
            </w:r>
            <w:r>
              <w:rPr>
                <w:rFonts w:ascii="仿宋_GB2312" w:eastAsia="仿宋_GB2312"/>
                <w:sz w:val="24"/>
                <w:szCs w:val="21"/>
              </w:rPr>
              <w:t>：</w:t>
            </w:r>
            <w:r>
              <w:rPr>
                <w:rFonts w:hint="eastAsia" w:ascii="仿宋_GB2312" w:eastAsia="仿宋_GB2312"/>
                <w:sz w:val="24"/>
                <w:szCs w:val="21"/>
              </w:rPr>
              <w:t>1年</w:t>
            </w:r>
          </w:p>
        </w:tc>
        <w:tc>
          <w:tcPr>
            <w:tcW w:w="863" w:type="pct"/>
            <w:vMerge w:val="restart"/>
            <w:tcBorders>
              <w:left w:val="single" w:color="auto" w:sz="4" w:space="0"/>
            </w:tcBorders>
            <w:shd w:val="clear" w:color="000000" w:fill="FFFFFF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t>1</w:t>
            </w:r>
            <w:r>
              <w:rPr>
                <w:rFonts w:hint="eastAsia"/>
                <w:lang w:val="en-US" w:eastAsia="zh-CN"/>
              </w:rPr>
              <w:t>9.00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10" w:type="pct"/>
            <w:vMerge w:val="continue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891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750" w:type="pct"/>
            <w:vMerge w:val="continue"/>
            <w:tcBorders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208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地点</w:t>
            </w:r>
            <w:r>
              <w:rPr>
                <w:rFonts w:ascii="仿宋_GB2312" w:eastAsia="仿宋_GB2312"/>
                <w:sz w:val="24"/>
                <w:szCs w:val="21"/>
              </w:rPr>
              <w:t>：</w:t>
            </w:r>
            <w:r>
              <w:rPr>
                <w:rFonts w:hint="eastAsia" w:ascii="仿宋_GB2312" w:eastAsia="仿宋_GB2312"/>
                <w:sz w:val="24"/>
                <w:szCs w:val="21"/>
              </w:rPr>
              <w:t>之江院</w:t>
            </w:r>
            <w:r>
              <w:rPr>
                <w:rFonts w:ascii="仿宋_GB2312" w:eastAsia="仿宋_GB2312"/>
                <w:sz w:val="24"/>
                <w:szCs w:val="21"/>
              </w:rPr>
              <w:t>区</w:t>
            </w:r>
            <w:r>
              <w:rPr>
                <w:rFonts w:hint="eastAsia" w:ascii="仿宋_GB2312" w:eastAsia="仿宋_GB2312"/>
                <w:sz w:val="24"/>
                <w:szCs w:val="21"/>
              </w:rPr>
              <w:t>、余杭院区</w:t>
            </w:r>
          </w:p>
        </w:tc>
        <w:tc>
          <w:tcPr>
            <w:tcW w:w="863" w:type="pct"/>
            <w:vMerge w:val="continue"/>
            <w:tcBorders>
              <w:left w:val="single" w:color="auto" w:sz="4" w:space="0"/>
            </w:tcBorders>
            <w:shd w:val="clear" w:color="000000" w:fill="FFFFFF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10" w:type="pct"/>
            <w:vMerge w:val="continue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891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750" w:type="pct"/>
            <w:vMerge w:val="continue"/>
            <w:tcBorders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20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内容：针对地下室集中供水（纯水）设备，配备专业</w:t>
            </w:r>
            <w:r>
              <w:rPr>
                <w:rFonts w:ascii="仿宋_GB2312" w:eastAsia="仿宋_GB2312"/>
                <w:sz w:val="24"/>
                <w:szCs w:val="21"/>
              </w:rPr>
              <w:t>人员与</w:t>
            </w:r>
            <w:r>
              <w:rPr>
                <w:rFonts w:hint="eastAsia" w:ascii="仿宋_GB2312" w:eastAsia="仿宋_GB2312"/>
                <w:sz w:val="24"/>
                <w:szCs w:val="21"/>
              </w:rPr>
              <w:t>专用工具，提供例行检修保养服务。</w:t>
            </w:r>
          </w:p>
        </w:tc>
        <w:tc>
          <w:tcPr>
            <w:tcW w:w="863" w:type="pct"/>
            <w:vMerge w:val="continue"/>
            <w:tcBorders>
              <w:left w:val="single" w:color="auto" w:sz="4" w:space="0"/>
            </w:tcBorders>
            <w:shd w:val="clear" w:color="000000" w:fill="FFFFFF"/>
          </w:tcPr>
          <w:p>
            <w:pPr>
              <w:rPr>
                <w:rFonts w:hint="eastAsia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1、质量标准</w:t>
      </w:r>
      <w:r>
        <w:rPr>
          <w:rFonts w:ascii="仿宋_GB2312" w:eastAsia="仿宋_GB2312"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维保期间，确保集中供水（纯水）设备</w:t>
      </w:r>
      <w:r>
        <w:rPr>
          <w:rFonts w:ascii="仿宋_GB2312" w:eastAsia="仿宋_GB2312"/>
          <w:sz w:val="32"/>
          <w:szCs w:val="32"/>
        </w:rPr>
        <w:t>安全、稳定、</w:t>
      </w:r>
      <w:r>
        <w:rPr>
          <w:rFonts w:hint="eastAsia" w:ascii="仿宋_GB2312" w:eastAsia="仿宋_GB2312"/>
          <w:sz w:val="32"/>
          <w:szCs w:val="32"/>
        </w:rPr>
        <w:t>可靠</w:t>
      </w:r>
      <w:r>
        <w:rPr>
          <w:rFonts w:ascii="仿宋_GB2312" w:eastAsia="仿宋_GB2312"/>
          <w:sz w:val="32"/>
          <w:szCs w:val="32"/>
        </w:rPr>
        <w:t>运行，各项</w:t>
      </w:r>
      <w:r>
        <w:rPr>
          <w:rFonts w:hint="eastAsia" w:ascii="仿宋_GB2312" w:eastAsia="仿宋_GB2312"/>
          <w:sz w:val="32"/>
          <w:szCs w:val="32"/>
        </w:rPr>
        <w:t>运行技术参数在正常范围之内。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2、工作</w:t>
      </w:r>
      <w:r>
        <w:rPr>
          <w:rFonts w:ascii="仿宋_GB2312" w:eastAsia="仿宋_GB2312"/>
          <w:sz w:val="32"/>
          <w:szCs w:val="32"/>
        </w:rPr>
        <w:t>内容：</w:t>
      </w:r>
    </w:p>
    <w:p>
      <w:pPr>
        <w:pStyle w:val="9"/>
        <w:numPr>
          <w:ilvl w:val="0"/>
          <w:numId w:val="1"/>
        </w:numPr>
        <w:autoSpaceDE w:val="0"/>
        <w:autoSpaceDN w:val="0"/>
        <w:adjustRightInd w:val="0"/>
        <w:snapToGrid w:val="0"/>
        <w:ind w:left="0" w:firstLine="64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每月巡查两次，了解水处理使用情况，并对设备进行系统的检测，检测项目含系统运行压力、反渗膜性能、纯水产水量、纯水电导度、过滤器运行状态、系统管路密封性等，巡查中如发现问题应及时解决。</w:t>
      </w:r>
    </w:p>
    <w:p>
      <w:pPr>
        <w:pStyle w:val="9"/>
        <w:numPr>
          <w:ilvl w:val="0"/>
          <w:numId w:val="1"/>
        </w:numPr>
        <w:autoSpaceDE w:val="0"/>
        <w:autoSpaceDN w:val="0"/>
        <w:adjustRightInd w:val="0"/>
        <w:snapToGrid w:val="0"/>
        <w:ind w:left="0" w:firstLine="64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负责每月对石英砂、活性炭、阳树脂、反渗透膜性能等进行检测，如发现设备、水质存在异常情况应第一时间通知院方，并迅速给出解决方案并予以落实。负责每年送检微量元素1次，出具第三方权威检测报告。</w:t>
      </w:r>
    </w:p>
    <w:p>
      <w:pPr>
        <w:pStyle w:val="9"/>
        <w:numPr>
          <w:ilvl w:val="0"/>
          <w:numId w:val="1"/>
        </w:numPr>
        <w:autoSpaceDE w:val="0"/>
        <w:autoSpaceDN w:val="0"/>
        <w:adjustRightInd w:val="0"/>
        <w:snapToGrid w:val="0"/>
        <w:ind w:left="0" w:firstLine="64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免费化学消毒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两月一</w:t>
      </w:r>
      <w:r>
        <w:rPr>
          <w:rFonts w:hint="eastAsia" w:ascii="仿宋_GB2312" w:eastAsia="仿宋_GB2312"/>
          <w:sz w:val="32"/>
          <w:szCs w:val="32"/>
        </w:rPr>
        <w:t>次（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6次/年）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pStyle w:val="9"/>
        <w:numPr>
          <w:ilvl w:val="0"/>
          <w:numId w:val="1"/>
        </w:numPr>
        <w:autoSpaceDE w:val="0"/>
        <w:autoSpaceDN w:val="0"/>
        <w:adjustRightInd w:val="0"/>
        <w:snapToGrid w:val="0"/>
        <w:ind w:left="0" w:firstLine="64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日常设备运行出现故障时，在接到通知后须给与明确的答复，并在2小时内赶到现场，进行排除故障工作，直到恢复正常运行。若设备零部件损坏，负责更换。在接到甲方故障通知后，若乙方维修人员未能在规定时间内到场，甲方有权按次对乙方处以2000元的罚款，罚款金额从合同款中扣除。</w:t>
      </w:r>
    </w:p>
    <w:p>
      <w:pPr>
        <w:pStyle w:val="9"/>
        <w:numPr>
          <w:ilvl w:val="0"/>
          <w:numId w:val="1"/>
        </w:numPr>
        <w:autoSpaceDE w:val="0"/>
        <w:autoSpaceDN w:val="0"/>
        <w:adjustRightInd w:val="0"/>
        <w:snapToGrid w:val="0"/>
        <w:ind w:left="0" w:firstLine="640" w:firstLineChars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维保过程中产生的垃圾、更换</w:t>
      </w:r>
      <w:r>
        <w:rPr>
          <w:rFonts w:ascii="仿宋_GB2312" w:eastAsia="仿宋_GB2312"/>
          <w:sz w:val="32"/>
          <w:szCs w:val="32"/>
        </w:rPr>
        <w:t>耗材等由乙方负责</w:t>
      </w:r>
      <w:r>
        <w:rPr>
          <w:rFonts w:hint="eastAsia" w:ascii="仿宋_GB2312" w:eastAsia="仿宋_GB2312"/>
          <w:sz w:val="32"/>
          <w:szCs w:val="32"/>
        </w:rPr>
        <w:t>及时</w:t>
      </w:r>
      <w:r>
        <w:rPr>
          <w:rFonts w:ascii="仿宋_GB2312" w:eastAsia="仿宋_GB2312"/>
          <w:sz w:val="32"/>
          <w:szCs w:val="32"/>
        </w:rPr>
        <w:t>清运，</w:t>
      </w:r>
      <w:r>
        <w:rPr>
          <w:rFonts w:hint="eastAsia" w:ascii="仿宋_GB2312" w:eastAsia="仿宋_GB2312"/>
          <w:sz w:val="32"/>
          <w:szCs w:val="32"/>
        </w:rPr>
        <w:t>清运</w:t>
      </w:r>
      <w:r>
        <w:rPr>
          <w:rFonts w:ascii="仿宋_GB2312" w:eastAsia="仿宋_GB2312"/>
          <w:sz w:val="32"/>
          <w:szCs w:val="32"/>
        </w:rPr>
        <w:t>费用由</w:t>
      </w:r>
      <w:r>
        <w:rPr>
          <w:rFonts w:hint="eastAsia" w:ascii="仿宋_GB2312" w:eastAsia="仿宋_GB2312"/>
          <w:sz w:val="32"/>
          <w:szCs w:val="32"/>
        </w:rPr>
        <w:t>乙方承担。</w:t>
      </w:r>
    </w:p>
    <w:p>
      <w:pPr>
        <w:pStyle w:val="9"/>
        <w:numPr>
          <w:ilvl w:val="0"/>
          <w:numId w:val="1"/>
        </w:numPr>
        <w:autoSpaceDE w:val="0"/>
        <w:autoSpaceDN w:val="0"/>
        <w:adjustRightInd w:val="0"/>
        <w:snapToGrid w:val="0"/>
        <w:ind w:left="0" w:firstLine="640" w:firstLineChars="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/>
          <w:sz w:val="32"/>
          <w:szCs w:val="32"/>
        </w:rPr>
        <w:t>设备每次维保、维修后，根据甲方要求，形成书面记录作为台账，内容包含但不限于照片、文字等，并在每次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维保、维修完成后的</w:t>
      </w:r>
      <w:r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7个工作日交于甲方。</w:t>
      </w:r>
    </w:p>
    <w:p>
      <w:pPr>
        <w:pStyle w:val="9"/>
        <w:numPr>
          <w:ilvl w:val="0"/>
          <w:numId w:val="1"/>
        </w:numPr>
        <w:autoSpaceDE w:val="0"/>
        <w:autoSpaceDN w:val="0"/>
        <w:adjustRightInd w:val="0"/>
        <w:snapToGrid w:val="0"/>
        <w:ind w:left="0" w:firstLine="640" w:firstLineChars="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维保最高预算总价为1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9.00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万元，总报价不得超过预算价。报价需将余杭、之江分别报价。</w:t>
      </w:r>
    </w:p>
    <w:p>
      <w:pPr>
        <w:pStyle w:val="9"/>
        <w:numPr>
          <w:ilvl w:val="0"/>
          <w:numId w:val="1"/>
        </w:numPr>
        <w:autoSpaceDE w:val="0"/>
        <w:autoSpaceDN w:val="0"/>
        <w:adjustRightInd w:val="0"/>
        <w:snapToGrid w:val="0"/>
        <w:ind w:left="0" w:firstLine="640" w:firstLineChars="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因服务商原因造成设备损坏,服务商应负责修复直到设备恢复正常使用，并承担由此引起的费用及责任。</w:t>
      </w: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3、报价与结算要求：</w:t>
      </w:r>
    </w:p>
    <w:p>
      <w:pPr>
        <w:pStyle w:val="9"/>
        <w:numPr>
          <w:ilvl w:val="0"/>
          <w:numId w:val="2"/>
        </w:numPr>
        <w:autoSpaceDE w:val="0"/>
        <w:autoSpaceDN w:val="0"/>
        <w:adjustRightInd w:val="0"/>
        <w:snapToGrid w:val="0"/>
        <w:ind w:firstLineChars="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报价包含维修、维护保养过程中全部人工费、所有配件及材料费。差旅费、税费等也包含在总价中。</w:t>
      </w:r>
    </w:p>
    <w:p>
      <w:pPr>
        <w:pStyle w:val="9"/>
        <w:numPr>
          <w:ilvl w:val="0"/>
          <w:numId w:val="2"/>
        </w:numPr>
        <w:autoSpaceDE w:val="0"/>
        <w:autoSpaceDN w:val="0"/>
        <w:adjustRightInd w:val="0"/>
        <w:snapToGrid w:val="0"/>
        <w:ind w:firstLineChars="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付款方式：合同内每半年支付一次，共支付2次。</w:t>
      </w:r>
    </w:p>
    <w:p>
      <w:pPr>
        <w:pStyle w:val="9"/>
        <w:numPr>
          <w:ilvl w:val="0"/>
          <w:numId w:val="2"/>
        </w:numPr>
        <w:autoSpaceDE w:val="0"/>
        <w:autoSpaceDN w:val="0"/>
        <w:adjustRightInd w:val="0"/>
        <w:snapToGrid w:val="0"/>
        <w:ind w:firstLineChars="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每半年完成服务期内规定的维保服务，提供：</w:t>
      </w:r>
    </w:p>
    <w:p>
      <w:pPr>
        <w:autoSpaceDE w:val="0"/>
        <w:autoSpaceDN w:val="0"/>
        <w:adjustRightInd w:val="0"/>
        <w:snapToGrid w:val="0"/>
        <w:ind w:left="420" w:firstLine="42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①详细的描述性总结报告（提供有效数据，含业主设备基本信息、系统运行情况、服务次数、所用耗材清单与费用、系统维护建议等）</w:t>
      </w:r>
    </w:p>
    <w:p>
      <w:pPr>
        <w:autoSpaceDE w:val="0"/>
        <w:autoSpaceDN w:val="0"/>
        <w:adjustRightInd w:val="0"/>
        <w:snapToGrid w:val="0"/>
        <w:ind w:left="420" w:firstLine="42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②该周期全部服务单据</w:t>
      </w:r>
    </w:p>
    <w:p>
      <w:pPr>
        <w:autoSpaceDE w:val="0"/>
        <w:autoSpaceDN w:val="0"/>
        <w:adjustRightInd w:val="0"/>
        <w:snapToGrid w:val="0"/>
        <w:ind w:left="420" w:firstLine="42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③工作照片电子压缩包</w:t>
      </w:r>
    </w:p>
    <w:p>
      <w:pPr>
        <w:autoSpaceDE w:val="0"/>
        <w:autoSpaceDN w:val="0"/>
        <w:adjustRightInd w:val="0"/>
        <w:snapToGrid w:val="0"/>
        <w:ind w:left="420" w:firstLine="42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以上材料A4大小装订成册（总结报告在前，服务单据附后），经验收合格后支付。</w:t>
      </w:r>
    </w:p>
    <w:p>
      <w:pPr>
        <w:autoSpaceDE w:val="0"/>
        <w:autoSpaceDN w:val="0"/>
        <w:adjustRightInd w:val="0"/>
        <w:snapToGrid w:val="0"/>
        <w:ind w:left="420" w:firstLine="420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autoSpaceDE w:val="0"/>
        <w:autoSpaceDN w:val="0"/>
        <w:adjustRightInd w:val="0"/>
        <w:snapToGrid w:val="0"/>
        <w:ind w:left="420" w:firstLine="42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结算需保证及时性，规定结算周期内的工作完成后，次月必须提交相关资料申请报销结算，原则上不允许跨周期结算，如有延后业主有权不予结算。</w:t>
      </w:r>
    </w:p>
    <w:p>
      <w:pPr>
        <w:autoSpaceDE w:val="0"/>
        <w:autoSpaceDN w:val="0"/>
        <w:adjustRightInd w:val="0"/>
        <w:snapToGrid w:val="0"/>
        <w:ind w:left="42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1、询价时间：202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</w:rPr>
        <w:t>日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下午</w:t>
      </w:r>
      <w:r>
        <w:rPr>
          <w:rFonts w:hint="eastAsia" w:ascii="仿宋_GB2312" w:eastAsia="仿宋_GB2312"/>
          <w:sz w:val="32"/>
          <w:szCs w:val="32"/>
        </w:rPr>
        <w:t>14: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0（请于1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: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 xml:space="preserve">5提前到场签到） 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2、询价地址：杭州市庆春路79号浙大一院</w:t>
      </w:r>
      <w:r>
        <w:rPr>
          <w:rFonts w:ascii="仿宋_GB2312" w:eastAsia="仿宋_GB2312"/>
          <w:sz w:val="32"/>
          <w:szCs w:val="32"/>
        </w:rPr>
        <w:t>17</w:t>
      </w:r>
      <w:r>
        <w:rPr>
          <w:rFonts w:hint="eastAsia" w:ascii="仿宋_GB2312" w:eastAsia="仿宋_GB2312"/>
          <w:sz w:val="32"/>
          <w:szCs w:val="32"/>
        </w:rPr>
        <w:t>号楼4楼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余杭</w:t>
      </w:r>
      <w:r>
        <w:rPr>
          <w:rFonts w:hint="eastAsia" w:ascii="仿宋_GB2312" w:eastAsia="仿宋_GB2312"/>
          <w:sz w:val="32"/>
          <w:szCs w:val="32"/>
        </w:rPr>
        <w:t>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、询价文件一式两份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0571-8723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9806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附件1：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>响应</w:t>
      </w:r>
      <w:r>
        <w:rPr>
          <w:rFonts w:hint="eastAsia" w:ascii="仿宋_GB2312" w:hAnsi="宋体" w:eastAsia="仿宋_GB2312"/>
          <w:b/>
          <w:sz w:val="32"/>
          <w:szCs w:val="32"/>
        </w:rPr>
        <w:t>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</w:t>
      </w:r>
      <w:bookmarkStart w:id="0" w:name="_GoBack"/>
      <w:bookmarkEnd w:id="0"/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元（RMB____________），服务期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宋体" w:eastAsia="仿宋_GB2312"/>
          <w:sz w:val="32"/>
          <w:szCs w:val="32"/>
        </w:rPr>
        <w:t>年。</w:t>
      </w:r>
    </w:p>
    <w:p>
      <w:pPr>
        <w:pStyle w:val="3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>
      <w:pPr>
        <w:widowControl/>
        <w:jc w:val="left"/>
        <w:rPr>
          <w:rFonts w:hint="eastAsia" w:ascii="仿宋_GB2312" w:eastAsia="仿宋_GB2312"/>
          <w:b/>
          <w:sz w:val="32"/>
          <w:szCs w:val="32"/>
        </w:rPr>
      </w:pPr>
    </w:p>
    <w:p>
      <w:pPr>
        <w:pStyle w:val="2"/>
        <w:rPr>
          <w:rFonts w:hint="eastAsia"/>
        </w:rPr>
      </w:pPr>
    </w:p>
    <w:p>
      <w:pPr>
        <w:widowControl/>
        <w:jc w:val="left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default" w:ascii="仿宋_GB2312" w:hAnsi="宋体" w:eastAsia="仿宋_GB2312"/>
          <w:sz w:val="28"/>
          <w:szCs w:val="30"/>
          <w:lang w:val="en-US" w:eastAsia="zh-CN"/>
        </w:rPr>
      </w:pPr>
      <w:r>
        <w:rPr>
          <w:rFonts w:hint="eastAsia" w:ascii="仿宋_GB2312" w:hAnsi="宋体" w:eastAsia="仿宋_GB2312"/>
          <w:sz w:val="28"/>
          <w:szCs w:val="30"/>
          <w:lang w:val="en-US" w:eastAsia="zh-CN"/>
        </w:rPr>
        <w:t>报价需将余杭、之江院区分别报价：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3"/>
        <w:gridCol w:w="1717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3" w:type="dxa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设备类型</w:t>
            </w:r>
          </w:p>
        </w:tc>
        <w:tc>
          <w:tcPr>
            <w:tcW w:w="1717" w:type="dxa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数量（套）</w:t>
            </w:r>
          </w:p>
        </w:tc>
        <w:tc>
          <w:tcPr>
            <w:tcW w:w="2131" w:type="dxa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价格（元）</w:t>
            </w:r>
          </w:p>
        </w:tc>
        <w:tc>
          <w:tcPr>
            <w:tcW w:w="2131" w:type="dxa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3" w:type="dxa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之江院区集中供水（纯水）设备</w:t>
            </w:r>
          </w:p>
        </w:tc>
        <w:tc>
          <w:tcPr>
            <w:tcW w:w="1717" w:type="dxa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2131" w:type="dxa"/>
          </w:tcPr>
          <w:p>
            <w:pPr>
              <w:widowControl/>
              <w:jc w:val="center"/>
              <w:rPr>
                <w:rFonts w:ascii="仿宋_GB2312" w:hAnsi="宋体" w:eastAsia="仿宋_GB2312"/>
                <w:sz w:val="28"/>
                <w:szCs w:val="30"/>
                <w:vertAlign w:val="baseline"/>
                <w:lang w:val="zh-CN"/>
              </w:rPr>
            </w:pPr>
          </w:p>
        </w:tc>
        <w:tc>
          <w:tcPr>
            <w:tcW w:w="2131" w:type="dxa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3" w:type="dxa"/>
          </w:tcPr>
          <w:p>
            <w:pPr>
              <w:widowControl/>
              <w:jc w:val="center"/>
              <w:rPr>
                <w:rFonts w:ascii="仿宋_GB2312" w:hAnsi="宋体" w:eastAsia="仿宋_GB2312"/>
                <w:sz w:val="28"/>
                <w:szCs w:val="30"/>
                <w:vertAlign w:val="baseline"/>
                <w:lang w:val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余杭院区集中供水（纯水）设备</w:t>
            </w:r>
          </w:p>
        </w:tc>
        <w:tc>
          <w:tcPr>
            <w:tcW w:w="1717" w:type="dxa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2131" w:type="dxa"/>
          </w:tcPr>
          <w:p>
            <w:pPr>
              <w:widowControl/>
              <w:jc w:val="center"/>
              <w:rPr>
                <w:rFonts w:ascii="仿宋_GB2312" w:hAnsi="宋体" w:eastAsia="仿宋_GB2312"/>
                <w:sz w:val="28"/>
                <w:szCs w:val="30"/>
                <w:vertAlign w:val="baseline"/>
                <w:lang w:val="zh-CN"/>
              </w:rPr>
            </w:pPr>
          </w:p>
        </w:tc>
        <w:tc>
          <w:tcPr>
            <w:tcW w:w="2131" w:type="dxa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1年</w:t>
            </w:r>
          </w:p>
        </w:tc>
      </w:tr>
    </w:tbl>
    <w:p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  <w:r>
        <w:rPr>
          <w:rFonts w:ascii="仿宋_GB2312" w:hAnsi="宋体" w:eastAsia="仿宋_GB2312"/>
          <w:sz w:val="28"/>
          <w:szCs w:val="30"/>
          <w:lang w:val="zh-CN"/>
        </w:rPr>
        <w:br w:type="page"/>
      </w:r>
    </w:p>
    <w:p>
      <w:pPr>
        <w:autoSpaceDE w:val="0"/>
        <w:autoSpaceDN w:val="0"/>
        <w:adjustRightInd w:val="0"/>
        <w:snapToGrid w:val="0"/>
        <w:spacing w:line="360" w:lineRule="auto"/>
        <w:jc w:val="both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项目名称：集中供水（纯水）设备维保服务</w:t>
      </w:r>
    </w:p>
    <w:p>
      <w:pPr>
        <w:autoSpaceDE w:val="0"/>
        <w:autoSpaceDN w:val="0"/>
        <w:adjustRightInd w:val="0"/>
        <w:snapToGrid w:val="0"/>
        <w:spacing w:line="360" w:lineRule="auto"/>
        <w:ind w:firstLine="2240" w:firstLineChars="7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240" w:firstLineChars="7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240" w:firstLineChars="7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>
      <w:pPr>
        <w:pStyle w:val="2"/>
        <w:rPr>
          <w:rFonts w:hint="eastAsia" w:ascii="仿宋_GB2312" w:eastAsia="仿宋_GB2312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附件4：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spacing w:line="300" w:lineRule="auto"/>
        <w:rPr>
          <w:rFonts w:ascii="仿宋_GB2312" w:hAnsi="仿宋_GB2312" w:eastAsia="仿宋_GB2312" w:cs="仿宋_GB2312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附件5：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sz w:val="32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D27CF3"/>
    <w:multiLevelType w:val="multilevel"/>
    <w:tmpl w:val="05D27CF3"/>
    <w:lvl w:ilvl="0" w:tentative="0">
      <w:start w:val="1"/>
      <w:numFmt w:val="decimal"/>
      <w:lvlText w:val="%1)"/>
      <w:lvlJc w:val="left"/>
      <w:pPr>
        <w:ind w:left="1060" w:hanging="420"/>
      </w:pPr>
      <w:rPr>
        <w:b w:val="0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52E85747"/>
    <w:multiLevelType w:val="multilevel"/>
    <w:tmpl w:val="52E85747"/>
    <w:lvl w:ilvl="0" w:tentative="0">
      <w:start w:val="1"/>
      <w:numFmt w:val="decimal"/>
      <w:lvlText w:val="%1)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501E7"/>
    <w:rsid w:val="0005079E"/>
    <w:rsid w:val="00056C2C"/>
    <w:rsid w:val="00057583"/>
    <w:rsid w:val="00066F5D"/>
    <w:rsid w:val="000679FC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2AE0"/>
    <w:rsid w:val="000E411F"/>
    <w:rsid w:val="000E6AE3"/>
    <w:rsid w:val="000E7B92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66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0EB7"/>
    <w:rsid w:val="001B1204"/>
    <w:rsid w:val="001B12D3"/>
    <w:rsid w:val="001B2D7C"/>
    <w:rsid w:val="001B30B9"/>
    <w:rsid w:val="001B370F"/>
    <w:rsid w:val="001B4214"/>
    <w:rsid w:val="001B76A9"/>
    <w:rsid w:val="001B78CB"/>
    <w:rsid w:val="001B798D"/>
    <w:rsid w:val="001C0E6E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E38"/>
    <w:rsid w:val="00204F6B"/>
    <w:rsid w:val="0020501B"/>
    <w:rsid w:val="00205158"/>
    <w:rsid w:val="00206B06"/>
    <w:rsid w:val="002075EE"/>
    <w:rsid w:val="002114F4"/>
    <w:rsid w:val="00212FB1"/>
    <w:rsid w:val="002156E7"/>
    <w:rsid w:val="00217989"/>
    <w:rsid w:val="0022183F"/>
    <w:rsid w:val="002218D0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3EED"/>
    <w:rsid w:val="00264E97"/>
    <w:rsid w:val="002655B6"/>
    <w:rsid w:val="002666DF"/>
    <w:rsid w:val="00266F69"/>
    <w:rsid w:val="0027037A"/>
    <w:rsid w:val="00270FFA"/>
    <w:rsid w:val="002713B2"/>
    <w:rsid w:val="002713F7"/>
    <w:rsid w:val="00271EA4"/>
    <w:rsid w:val="0027302E"/>
    <w:rsid w:val="00273D20"/>
    <w:rsid w:val="002763BE"/>
    <w:rsid w:val="00277B14"/>
    <w:rsid w:val="0028408E"/>
    <w:rsid w:val="00290DE9"/>
    <w:rsid w:val="00291272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2D97"/>
    <w:rsid w:val="002B395F"/>
    <w:rsid w:val="002B49B4"/>
    <w:rsid w:val="002B5C50"/>
    <w:rsid w:val="002B738F"/>
    <w:rsid w:val="002C0A5C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217F"/>
    <w:rsid w:val="003123AA"/>
    <w:rsid w:val="00312F65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B7B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0F8A"/>
    <w:rsid w:val="004413D0"/>
    <w:rsid w:val="0044288F"/>
    <w:rsid w:val="00443ADD"/>
    <w:rsid w:val="004442D3"/>
    <w:rsid w:val="00444EF1"/>
    <w:rsid w:val="00446CBC"/>
    <w:rsid w:val="00455FE2"/>
    <w:rsid w:val="004572A7"/>
    <w:rsid w:val="00457395"/>
    <w:rsid w:val="00457A5E"/>
    <w:rsid w:val="0046043E"/>
    <w:rsid w:val="004646A0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2C2F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D4187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1BD2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6B3A"/>
    <w:rsid w:val="00536C01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2413"/>
    <w:rsid w:val="0058334A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332"/>
    <w:rsid w:val="005B69F0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32BE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AC0"/>
    <w:rsid w:val="00610B11"/>
    <w:rsid w:val="00611993"/>
    <w:rsid w:val="00612DC6"/>
    <w:rsid w:val="00617852"/>
    <w:rsid w:val="00620906"/>
    <w:rsid w:val="00625DFD"/>
    <w:rsid w:val="006271A1"/>
    <w:rsid w:val="0062762D"/>
    <w:rsid w:val="00631189"/>
    <w:rsid w:val="00632D06"/>
    <w:rsid w:val="00633BCD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92D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0CA4"/>
    <w:rsid w:val="006B180E"/>
    <w:rsid w:val="006B4AC8"/>
    <w:rsid w:val="006B4EC6"/>
    <w:rsid w:val="006B50A9"/>
    <w:rsid w:val="006C03EA"/>
    <w:rsid w:val="006C2C10"/>
    <w:rsid w:val="006C455E"/>
    <w:rsid w:val="006C5802"/>
    <w:rsid w:val="006C689F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3609"/>
    <w:rsid w:val="00714307"/>
    <w:rsid w:val="007152F2"/>
    <w:rsid w:val="007153E2"/>
    <w:rsid w:val="00715B88"/>
    <w:rsid w:val="00716A95"/>
    <w:rsid w:val="00716B09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5EC8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69FC"/>
    <w:rsid w:val="00767126"/>
    <w:rsid w:val="00767AB3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49F2"/>
    <w:rsid w:val="00795030"/>
    <w:rsid w:val="0079672D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C5902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4F72"/>
    <w:rsid w:val="007E5172"/>
    <w:rsid w:val="007E5BDA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0669B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156A"/>
    <w:rsid w:val="00831EFB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54A4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55B9"/>
    <w:rsid w:val="008A57D6"/>
    <w:rsid w:val="008A603C"/>
    <w:rsid w:val="008A65D4"/>
    <w:rsid w:val="008A7504"/>
    <w:rsid w:val="008B04D6"/>
    <w:rsid w:val="008B1C52"/>
    <w:rsid w:val="008B264F"/>
    <w:rsid w:val="008B28E8"/>
    <w:rsid w:val="008B3E30"/>
    <w:rsid w:val="008B4616"/>
    <w:rsid w:val="008B4CDA"/>
    <w:rsid w:val="008B554E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26B7"/>
    <w:rsid w:val="008E27A8"/>
    <w:rsid w:val="008E60CB"/>
    <w:rsid w:val="008E689A"/>
    <w:rsid w:val="008F08E7"/>
    <w:rsid w:val="008F165F"/>
    <w:rsid w:val="008F1666"/>
    <w:rsid w:val="008F1BE0"/>
    <w:rsid w:val="008F3697"/>
    <w:rsid w:val="008F4824"/>
    <w:rsid w:val="008F4A20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114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4006B"/>
    <w:rsid w:val="009414E4"/>
    <w:rsid w:val="00952467"/>
    <w:rsid w:val="00952A75"/>
    <w:rsid w:val="0095327E"/>
    <w:rsid w:val="00954985"/>
    <w:rsid w:val="00954A0A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43A1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289B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2F75"/>
    <w:rsid w:val="009F6B80"/>
    <w:rsid w:val="00A01E03"/>
    <w:rsid w:val="00A024CE"/>
    <w:rsid w:val="00A02517"/>
    <w:rsid w:val="00A03DF3"/>
    <w:rsid w:val="00A0561E"/>
    <w:rsid w:val="00A064F5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21B65"/>
    <w:rsid w:val="00A248AC"/>
    <w:rsid w:val="00A24B18"/>
    <w:rsid w:val="00A2565E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66FE"/>
    <w:rsid w:val="00A57824"/>
    <w:rsid w:val="00A579A8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6B8A"/>
    <w:rsid w:val="00A77F8B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7DF"/>
    <w:rsid w:val="00AB1ACC"/>
    <w:rsid w:val="00AB3CD7"/>
    <w:rsid w:val="00AB4AEE"/>
    <w:rsid w:val="00AB55A0"/>
    <w:rsid w:val="00AB5C4C"/>
    <w:rsid w:val="00AB5D8D"/>
    <w:rsid w:val="00AB5E31"/>
    <w:rsid w:val="00AB6DC0"/>
    <w:rsid w:val="00AB7027"/>
    <w:rsid w:val="00AB7298"/>
    <w:rsid w:val="00AC1193"/>
    <w:rsid w:val="00AC17BE"/>
    <w:rsid w:val="00AC26DF"/>
    <w:rsid w:val="00AC2FBA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9C0"/>
    <w:rsid w:val="00B17EF7"/>
    <w:rsid w:val="00B20012"/>
    <w:rsid w:val="00B20245"/>
    <w:rsid w:val="00B21FFD"/>
    <w:rsid w:val="00B222CB"/>
    <w:rsid w:val="00B236CE"/>
    <w:rsid w:val="00B23C83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7DC"/>
    <w:rsid w:val="00B836DA"/>
    <w:rsid w:val="00B843C3"/>
    <w:rsid w:val="00B84559"/>
    <w:rsid w:val="00B867D5"/>
    <w:rsid w:val="00B90EDB"/>
    <w:rsid w:val="00B92037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829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7308"/>
    <w:rsid w:val="00C7782C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2BC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179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55C1"/>
    <w:rsid w:val="00D862C7"/>
    <w:rsid w:val="00D86C0D"/>
    <w:rsid w:val="00D95041"/>
    <w:rsid w:val="00D95B6A"/>
    <w:rsid w:val="00D961CA"/>
    <w:rsid w:val="00D974F1"/>
    <w:rsid w:val="00DA005E"/>
    <w:rsid w:val="00DA06C8"/>
    <w:rsid w:val="00DA1352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A68"/>
    <w:rsid w:val="00DD6F60"/>
    <w:rsid w:val="00DE09EF"/>
    <w:rsid w:val="00DE2A83"/>
    <w:rsid w:val="00DE5796"/>
    <w:rsid w:val="00DE699B"/>
    <w:rsid w:val="00DE6CC5"/>
    <w:rsid w:val="00DF0289"/>
    <w:rsid w:val="00DF0A3B"/>
    <w:rsid w:val="00DF0C51"/>
    <w:rsid w:val="00DF343A"/>
    <w:rsid w:val="00DF4133"/>
    <w:rsid w:val="00DF457A"/>
    <w:rsid w:val="00DF4E14"/>
    <w:rsid w:val="00DF582A"/>
    <w:rsid w:val="00DF7F83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41A7"/>
    <w:rsid w:val="00E44E5C"/>
    <w:rsid w:val="00E44F2D"/>
    <w:rsid w:val="00E464AE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63C56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58B6"/>
    <w:rsid w:val="00EE60DD"/>
    <w:rsid w:val="00EE6434"/>
    <w:rsid w:val="00EE7BD2"/>
    <w:rsid w:val="00EF0836"/>
    <w:rsid w:val="00EF6AE8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A95"/>
    <w:rsid w:val="00F45D82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3210"/>
    <w:rsid w:val="00FB4730"/>
    <w:rsid w:val="00FB4906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7CB11DD"/>
    <w:rsid w:val="0DFD37F9"/>
    <w:rsid w:val="0F9C4FD0"/>
    <w:rsid w:val="17326391"/>
    <w:rsid w:val="1EAA56A8"/>
    <w:rsid w:val="3315547E"/>
    <w:rsid w:val="35DA66B6"/>
    <w:rsid w:val="3F286331"/>
    <w:rsid w:val="4A4F4408"/>
    <w:rsid w:val="547A155C"/>
    <w:rsid w:val="612C6FBF"/>
    <w:rsid w:val="735637FD"/>
    <w:rsid w:val="73B5077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文件正文版式"/>
    <w:basedOn w:val="1"/>
    <w:qFormat/>
    <w:uiPriority w:val="0"/>
    <w:pPr>
      <w:spacing w:line="460" w:lineRule="atLeast"/>
    </w:pPr>
    <w:rPr>
      <w:rFonts w:ascii="宋体" w:hAnsi="宋体"/>
      <w:b/>
      <w:bCs/>
      <w:sz w:val="24"/>
    </w:rPr>
  </w:style>
  <w:style w:type="character" w:customStyle="1" w:styleId="13">
    <w:name w:val="日期 字符"/>
    <w:basedOn w:val="8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1480</Words>
  <Characters>1525</Characters>
  <Lines>12</Lines>
  <Paragraphs>3</Paragraphs>
  <TotalTime>1</TotalTime>
  <ScaleCrop>false</ScaleCrop>
  <LinksUpToDate>false</LinksUpToDate>
  <CharactersWithSpaces>1669</CharactersWithSpaces>
  <Application>WPS Office_12.1.0.15324_F1E327BC-269C-435d-A152-05C5408002CA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2022-08-29T01:46:00Z</dcterms:created>
  <dc:creator>陈希琳</dc:creator>
  <cp:lastModifiedBy>-LINN-</cp:lastModifiedBy>
  <cp:lastPrinted>2021-05-10T07:12:00Z</cp:lastPrinted>
  <dcterms:modified xsi:type="dcterms:W3CDTF">2023-08-22T01:22:30Z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2052-12.1.0.15324</vt:lpwstr>
  </property>
  <property fmtid="{D5CDD505-2E9C-101B-9397-08002B2CF9AE}" pid="3" name="ICV">
    <vt:lpwstr>294DD33BC95444CA893342739EB775F1_13</vt:lpwstr>
  </property>
</Properties>
</file>