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 w:hAnsi="Times New Roman" w:eastAsia="宋体" w:cs="Times New Roman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 w:hAnsi="Times New Roman" w:eastAsia="宋体" w:cs="Times New Roman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 w:hAnsi="Times New Roman" w:eastAsia="宋体" w:cs="Times New Roman"/>
          <w:b/>
          <w:sz w:val="60"/>
          <w:szCs w:val="56"/>
          <w:lang w:val="zh-CN"/>
        </w:rPr>
      </w:pPr>
      <w:r>
        <w:rPr>
          <w:rFonts w:hint="eastAsia" w:ascii="宋体" w:hAnsi="Times New Roman" w:eastAsia="宋体" w:cs="Times New Roman"/>
          <w:b/>
          <w:sz w:val="60"/>
          <w:szCs w:val="56"/>
          <w:lang w:val="zh-CN"/>
        </w:rPr>
        <w:t>浙江大学</w:t>
      </w:r>
      <w:r>
        <w:rPr>
          <w:rFonts w:ascii="宋体" w:hAnsi="Times New Roman" w:eastAsia="宋体" w:cs="Times New Roman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 w:hAnsi="Times New Roman" w:eastAsia="宋体" w:cs="Times New Roman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 w:hAnsi="Times New Roman" w:eastAsia="宋体" w:cs="Times New Roman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 w:hAnsi="Times New Roman" w:eastAsia="宋体" w:cs="Times New Roman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Times New Roman" w:hAnsi="Times New Roman" w:eastAsia="宋体" w:cs="Times New Roman"/>
          <w:sz w:val="56"/>
          <w:szCs w:val="56"/>
          <w:lang w:val="zh-CN"/>
        </w:rPr>
      </w:pPr>
      <w:r>
        <w:rPr>
          <w:rFonts w:ascii="Times New Roman" w:hAnsi="Times New Roman" w:eastAsia="宋体" w:cs="Times New Roman"/>
          <w:sz w:val="56"/>
          <w:szCs w:val="56"/>
          <w:lang w:val="zh-CN"/>
        </w:rPr>
        <w:t>项目</w:t>
      </w:r>
      <w:r>
        <w:rPr>
          <w:rFonts w:hint="eastAsia" w:ascii="Times New Roman" w:hAnsi="Times New Roman" w:eastAsia="宋体" w:cs="Times New Roman"/>
          <w:sz w:val="56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rFonts w:ascii="Times New Roman" w:hAnsi="Times New Roman" w:eastAsia="宋体" w:cs="Times New Roman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Times New Roman" w:hAnsi="Times New Roman" w:eastAsia="宋体" w:cs="Times New Roman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Times New Roman" w:hAnsi="Times New Roman" w:eastAsia="宋体" w:cs="Times New Roman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Times New Roman" w:hAnsi="Times New Roman" w:eastAsia="宋体" w:cs="Times New Roman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Times New Roman" w:hAnsi="Times New Roman" w:eastAsia="宋体" w:cs="Times New Roman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Times New Roman" w:hAnsi="Times New Roman" w:eastAsia="宋体" w:cs="Times New Roman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Times New Roman" w:hAnsi="Times New Roman" w:eastAsia="宋体" w:cs="Times New Roman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Times New Roman" w:hAnsi="Times New Roman" w:eastAsia="宋体" w:cs="Times New Roman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ascii="宋体" w:eastAsia="宋体"/>
          <w:sz w:val="40"/>
          <w:szCs w:val="56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Times New Roman" w:eastAsia="宋体" w:cs="Times New Roman"/>
          <w:sz w:val="40"/>
          <w:szCs w:val="56"/>
          <w:lang w:val="zh-CN"/>
        </w:rPr>
        <w:t>项目名称：</w:t>
      </w:r>
      <w:r>
        <w:rPr>
          <w:rFonts w:hint="eastAsia" w:ascii="宋体" w:hAnsi="Times New Roman" w:eastAsia="宋体" w:cs="Times New Roman"/>
          <w:sz w:val="40"/>
          <w:szCs w:val="56"/>
          <w:lang w:val="en-US" w:eastAsia="zh-CN"/>
        </w:rPr>
        <w:t>之江院区食堂餐梯维保服务</w:t>
      </w: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ascii="宋体" w:hAnsi="Times New Roman" w:eastAsia="宋体" w:cs="Times New Roman"/>
          <w:b/>
          <w:sz w:val="44"/>
          <w:szCs w:val="56"/>
          <w:lang w:val="zh-CN"/>
        </w:rPr>
      </w:pPr>
      <w:r>
        <w:rPr>
          <w:rFonts w:hint="eastAsia" w:ascii="宋体" w:hAnsi="Times New Roman" w:eastAsia="宋体" w:cs="Times New Roman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Times New Roman" w:eastAsia="仿宋_GB2312" w:cs="Times New Roman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根据我国政府采购法律法规及医院相关管理制度规定, 组织本次项目询价。</w:t>
      </w: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lang w:val="zh-CN"/>
        </w:rPr>
        <w:t>一</w:t>
      </w:r>
      <w:r>
        <w:rPr>
          <w:rFonts w:ascii="仿宋_GB2312" w:hAnsi="Times New Roman" w:eastAsia="仿宋_GB2312" w:cs="Times New Roman"/>
          <w:b/>
          <w:sz w:val="32"/>
          <w:szCs w:val="32"/>
          <w:lang w:val="zh-CN"/>
        </w:rPr>
        <w:t>、询价品目</w:t>
      </w:r>
    </w:p>
    <w:tbl>
      <w:tblPr>
        <w:tblStyle w:val="2"/>
        <w:tblW w:w="4984" w:type="pct"/>
        <w:tblInd w:w="2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073"/>
        <w:gridCol w:w="1126"/>
        <w:gridCol w:w="2830"/>
        <w:gridCol w:w="28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序号</w:t>
            </w:r>
          </w:p>
        </w:tc>
        <w:tc>
          <w:tcPr>
            <w:tcW w:w="63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项目名称</w:t>
            </w:r>
          </w:p>
        </w:tc>
        <w:tc>
          <w:tcPr>
            <w:tcW w:w="6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采购方式</w:t>
            </w:r>
          </w:p>
        </w:tc>
        <w:tc>
          <w:tcPr>
            <w:tcW w:w="16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服务要求</w:t>
            </w:r>
          </w:p>
        </w:tc>
        <w:tc>
          <w:tcPr>
            <w:tcW w:w="16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  <w:lang w:val="en-US" w:eastAsia="zh-CN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74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1</w:t>
            </w:r>
          </w:p>
        </w:tc>
        <w:tc>
          <w:tcPr>
            <w:tcW w:w="632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hAnsi="Times New Roman" w:eastAsia="仿宋_GB2312" w:cs="Times New Roman"/>
                <w:szCs w:val="21"/>
                <w:lang w:val="en-US" w:eastAsia="zh-CN"/>
              </w:rPr>
            </w:pPr>
            <w:bookmarkStart w:id="0" w:name="_GoBack"/>
            <w:r>
              <w:rPr>
                <w:rFonts w:hint="eastAsia" w:ascii="仿宋_GB2312" w:hAnsi="Times New Roman" w:eastAsia="仿宋_GB2312" w:cs="Times New Roman"/>
                <w:szCs w:val="21"/>
                <w:lang w:val="en-US" w:eastAsia="zh-CN"/>
              </w:rPr>
              <w:t>之江院区食堂餐梯维保服务</w:t>
            </w:r>
            <w:bookmarkEnd w:id="0"/>
          </w:p>
        </w:tc>
        <w:tc>
          <w:tcPr>
            <w:tcW w:w="663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院内询价</w:t>
            </w:r>
          </w:p>
        </w:tc>
        <w:tc>
          <w:tcPr>
            <w:tcW w:w="1665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default" w:ascii="仿宋_GB2312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期限</w:t>
            </w:r>
            <w:r>
              <w:rPr>
                <w:rFonts w:ascii="仿宋_GB2312" w:hAnsi="Times New Roman" w:eastAsia="仿宋_GB2312" w:cs="Times New Roman"/>
                <w:szCs w:val="21"/>
              </w:rPr>
              <w:t>：</w:t>
            </w:r>
            <w:r>
              <w:rPr>
                <w:rFonts w:hint="eastAsia" w:ascii="仿宋_GB2312" w:hAnsi="Times New Roman" w:eastAsia="仿宋_GB2312" w:cs="Times New Roman"/>
                <w:szCs w:val="21"/>
                <w:lang w:val="en-US" w:eastAsia="zh-CN"/>
              </w:rPr>
              <w:t>1年</w:t>
            </w:r>
          </w:p>
        </w:tc>
        <w:tc>
          <w:tcPr>
            <w:tcW w:w="1665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74" w:type="pct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</w:p>
        </w:tc>
        <w:tc>
          <w:tcPr>
            <w:tcW w:w="632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</w:p>
        </w:tc>
        <w:tc>
          <w:tcPr>
            <w:tcW w:w="663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</w:p>
        </w:tc>
        <w:tc>
          <w:tcPr>
            <w:tcW w:w="1665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default" w:ascii="仿宋_GB2312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地点</w:t>
            </w:r>
            <w:r>
              <w:rPr>
                <w:rFonts w:ascii="仿宋_GB2312" w:hAnsi="Times New Roman" w:eastAsia="仿宋_GB2312" w:cs="Times New Roman"/>
                <w:szCs w:val="21"/>
              </w:rPr>
              <w:t>：</w:t>
            </w:r>
            <w:r>
              <w:rPr>
                <w:rFonts w:hint="eastAsia" w:ascii="仿宋_GB2312" w:hAnsi="Times New Roman" w:eastAsia="仿宋_GB2312" w:cs="Times New Roman"/>
                <w:szCs w:val="21"/>
                <w:lang w:eastAsia="zh-CN"/>
              </w:rPr>
              <w:t>浙大一院</w:t>
            </w:r>
            <w:r>
              <w:rPr>
                <w:rFonts w:hint="eastAsia" w:ascii="仿宋_GB2312" w:hAnsi="Times New Roman" w:eastAsia="仿宋_GB2312" w:cs="Times New Roman"/>
                <w:szCs w:val="21"/>
                <w:lang w:val="en-US" w:eastAsia="zh-CN"/>
              </w:rPr>
              <w:t>之江院区</w:t>
            </w:r>
          </w:p>
        </w:tc>
        <w:tc>
          <w:tcPr>
            <w:tcW w:w="1665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Times New Roman" w:eastAsia="仿宋_GB2312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74" w:type="pct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</w:p>
        </w:tc>
        <w:tc>
          <w:tcPr>
            <w:tcW w:w="632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</w:p>
        </w:tc>
        <w:tc>
          <w:tcPr>
            <w:tcW w:w="66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</w:p>
        </w:tc>
        <w:tc>
          <w:tcPr>
            <w:tcW w:w="1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内容</w:t>
            </w:r>
            <w:r>
              <w:rPr>
                <w:rFonts w:hint="eastAsia" w:ascii="仿宋_GB2312" w:hAnsi="Times New Roman" w:eastAsia="仿宋_GB2312" w:cs="Times New Roman"/>
                <w:szCs w:val="21"/>
                <w:lang w:val="en-US" w:eastAsia="zh-CN"/>
              </w:rPr>
              <w:t>：</w:t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内容：针对</w:t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u w:val="single"/>
              </w:rPr>
              <w:t xml:space="preserve"> 叁 </w:t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台</w:t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u w:val="single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u w:val="single"/>
                <w:lang w:val="en-US" w:eastAsia="zh-CN"/>
              </w:rPr>
              <w:t>食堂餐梯</w:t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，配备专业</w:t>
            </w:r>
            <w:r>
              <w:rPr>
                <w:rFonts w:ascii="仿宋_GB2312" w:hAnsi="Times New Roman" w:eastAsia="仿宋_GB2312" w:cs="Times New Roman"/>
                <w:sz w:val="24"/>
                <w:szCs w:val="21"/>
              </w:rPr>
              <w:t>人员与</w:t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专用工具，提供例行检修保养服务。</w:t>
            </w:r>
          </w:p>
        </w:tc>
        <w:tc>
          <w:tcPr>
            <w:tcW w:w="166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Times New Roman" w:eastAsia="仿宋_GB2312" w:cs="Times New Roman"/>
                <w:szCs w:val="21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sz w:val="32"/>
          <w:szCs w:val="32"/>
        </w:rPr>
      </w:pPr>
    </w:p>
    <w:p>
      <w:pPr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保修设备名称、数量：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7"/>
        <w:gridCol w:w="40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2" w:type="pct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24"/>
                <w:szCs w:val="21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1"/>
              </w:rPr>
              <w:t>地点</w:t>
            </w:r>
          </w:p>
        </w:tc>
        <w:tc>
          <w:tcPr>
            <w:tcW w:w="2367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Times New Roman" w:eastAsia="仿宋_GB2312" w:cs="Times New Roman"/>
                <w:kern w:val="2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1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2" w:type="pct"/>
          </w:tcPr>
          <w:p>
            <w:pPr>
              <w:spacing w:line="360" w:lineRule="auto"/>
              <w:jc w:val="center"/>
              <w:rPr>
                <w:rFonts w:hint="default" w:ascii="仿宋_GB2312" w:hAnsi="Times New Roman" w:eastAsia="仿宋_GB2312" w:cs="Times New Roman"/>
                <w:kern w:val="2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1"/>
                <w:lang w:val="en-US" w:eastAsia="zh-CN"/>
              </w:rPr>
              <w:t>之江院区食堂餐梯</w:t>
            </w:r>
          </w:p>
        </w:tc>
        <w:tc>
          <w:tcPr>
            <w:tcW w:w="2367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24"/>
                <w:szCs w:val="21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4"/>
                <w:szCs w:val="21"/>
                <w:lang w:val="en-US" w:eastAsia="zh-CN"/>
              </w:rPr>
              <w:t>3</w:t>
            </w:r>
          </w:p>
        </w:tc>
      </w:tr>
    </w:tbl>
    <w:p>
      <w:pPr>
        <w:autoSpaceDE w:val="0"/>
        <w:autoSpaceDN w:val="0"/>
        <w:adjustRightInd w:val="0"/>
        <w:snapToGrid w:val="0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spacing w:line="360" w:lineRule="auto"/>
        <w:ind w:firstLine="643" w:firstLineChars="200"/>
        <w:rPr>
          <w:rFonts w:hint="eastAsia"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二、具体需求</w:t>
      </w:r>
    </w:p>
    <w:p>
      <w:pPr>
        <w:spacing w:line="360" w:lineRule="auto"/>
        <w:ind w:firstLine="643" w:firstLineChars="200"/>
        <w:rPr>
          <w:rFonts w:hint="eastAsia"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1、质量标准：</w:t>
      </w:r>
    </w:p>
    <w:p>
      <w:pPr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在2023年11月1日至2024年10月31日</w:t>
      </w: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维保期间，确保设备安全、稳定、可靠运行，各项运行技术参数在正常范围之内。</w:t>
      </w:r>
    </w:p>
    <w:p>
      <w:pPr>
        <w:numPr>
          <w:ilvl w:val="0"/>
          <w:numId w:val="1"/>
        </w:numPr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工作内容：</w:t>
      </w:r>
    </w:p>
    <w:p>
      <w:pPr>
        <w:numPr>
          <w:ilvl w:val="0"/>
          <w:numId w:val="0"/>
        </w:numPr>
        <w:spacing w:line="360" w:lineRule="auto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    1）提供发生故障1小时内到场维保服务，若乙方维修人员未能在1小时内到场，甲方有权按次对乙方处以1000元的罚款，罚款金额从合同款中扣除；</w:t>
      </w:r>
    </w:p>
    <w:p>
      <w:pPr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2）</w:t>
      </w:r>
      <w:r>
        <w:rPr>
          <w:rFonts w:hint="eastAsia" w:ascii="仿宋_GB2312" w:hAnsi="Times New Roman" w:eastAsia="仿宋_GB2312" w:cs="Times New Roman"/>
          <w:b/>
          <w:sz w:val="32"/>
          <w:szCs w:val="32"/>
        </w:rPr>
        <w:t>定期（</w:t>
      </w:r>
      <w:r>
        <w:rPr>
          <w:rFonts w:hint="eastAsia" w:ascii="仿宋_GB2312" w:hAnsi="Times New Roman" w:eastAsia="仿宋_GB2312" w:cs="Times New Roman"/>
          <w:b/>
          <w:sz w:val="32"/>
          <w:szCs w:val="32"/>
          <w:lang w:val="en-US" w:eastAsia="zh-CN"/>
        </w:rPr>
        <w:t>至少</w:t>
      </w:r>
      <w:r>
        <w:rPr>
          <w:rFonts w:hint="eastAsia" w:ascii="仿宋_GB2312" w:hAnsi="Times New Roman" w:eastAsia="仿宋_GB2312" w:cs="Times New Roman"/>
          <w:b/>
          <w:sz w:val="32"/>
          <w:szCs w:val="32"/>
        </w:rPr>
        <w:t>每月一次）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对</w:t>
      </w: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电梯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进行检查</w:t>
      </w: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，保证电梯的用电、通讯和监控报警装置等系统安全可靠；保证机房、井道、底坑无漏水渗水现象；进入机房通道畅通且机房有足够的照明、通风、适合设备运行的温度；</w:t>
      </w:r>
    </w:p>
    <w:p>
      <w:pPr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3）在电梯安全检验合格有效期届满前二个月，向特种设备安全监督管理部门提出电梯年检申请，并承担年检及限速器检测、125%载荷制动试验费用；</w:t>
      </w:r>
    </w:p>
    <w:p>
      <w:pPr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4）</w:t>
      </w: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配备现场安全警示护栏和标签，以供维修保养时使用。</w:t>
      </w:r>
    </w:p>
    <w:p>
      <w:pPr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5）</w:t>
      </w: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维保最高预算价为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万元，报价不得超过预算价。</w:t>
      </w:r>
    </w:p>
    <w:p>
      <w:pPr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6）各台设备每次维保、维修后，根据甲方要求，形成书面记录作为台账，内容包含但不限于照片、文字等，并在每次维保、维修完成后的7个工作日交于甲方。</w:t>
      </w:r>
    </w:p>
    <w:p>
      <w:pPr>
        <w:spacing w:line="360" w:lineRule="auto"/>
        <w:ind w:firstLine="640" w:firstLineChars="200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1、询价时间：202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eastAsia" w:ascii="仿宋_GB2312" w:hAnsi="Times New Roman" w:eastAsia="仿宋_GB2312" w:cs="Times New Roman"/>
          <w:sz w:val="32"/>
          <w:szCs w:val="32"/>
        </w:rPr>
        <w:t>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24</w:t>
      </w:r>
      <w:r>
        <w:rPr>
          <w:rFonts w:hint="eastAsia" w:ascii="仿宋_GB2312" w:hAnsi="Times New Roman" w:eastAsia="仿宋_GB2312" w:cs="Times New Roman"/>
          <w:sz w:val="32"/>
          <w:szCs w:val="32"/>
        </w:rPr>
        <w:t>日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下午</w:t>
      </w:r>
      <w:r>
        <w:rPr>
          <w:rFonts w:hint="eastAsia" w:ascii="仿宋_GB2312" w:hAnsi="Times New Roman" w:eastAsia="仿宋_GB2312" w:cs="Times New Roman"/>
          <w:sz w:val="32"/>
          <w:szCs w:val="32"/>
        </w:rPr>
        <w:t>14: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hint="eastAsia" w:ascii="仿宋_GB2312" w:hAnsi="Times New Roman" w:eastAsia="仿宋_GB2312" w:cs="Times New Roman"/>
          <w:sz w:val="32"/>
          <w:szCs w:val="32"/>
        </w:rPr>
        <w:t>0（请于1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仿宋_GB2312" w:hAnsi="Times New Roman" w:eastAsia="仿宋_GB2312" w:cs="Times New Roman"/>
          <w:sz w:val="32"/>
          <w:szCs w:val="32"/>
        </w:rPr>
        <w:t>: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5提前到场签到） 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2、询价地址：杭州市庆春路79号浙大一院</w:t>
      </w:r>
      <w:r>
        <w:rPr>
          <w:rFonts w:ascii="仿宋_GB2312" w:hAnsi="Times New Roman" w:eastAsia="仿宋_GB2312" w:cs="Times New Roman"/>
          <w:sz w:val="32"/>
          <w:szCs w:val="32"/>
        </w:rPr>
        <w:t>17</w:t>
      </w:r>
      <w:r>
        <w:rPr>
          <w:rFonts w:hint="eastAsia" w:ascii="仿宋_GB2312" w:hAnsi="Times New Roman" w:eastAsia="仿宋_GB2312" w:cs="Times New Roman"/>
          <w:sz w:val="32"/>
          <w:szCs w:val="32"/>
        </w:rPr>
        <w:t>号楼4楼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余杭</w:t>
      </w:r>
      <w:r>
        <w:rPr>
          <w:rFonts w:hint="eastAsia" w:ascii="仿宋_GB2312" w:hAnsi="Times New Roman" w:eastAsia="仿宋_GB2312" w:cs="Times New Roman"/>
          <w:sz w:val="32"/>
          <w:szCs w:val="32"/>
        </w:rPr>
        <w:t>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3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4、联系</w:t>
      </w:r>
      <w:r>
        <w:rPr>
          <w:rFonts w:ascii="仿宋_GB2312" w:hAnsi="Times New Roman" w:eastAsia="仿宋_GB2312" w:cs="Times New Roman"/>
          <w:sz w:val="32"/>
          <w:szCs w:val="32"/>
        </w:rPr>
        <w:t>电话：</w:t>
      </w:r>
      <w:r>
        <w:rPr>
          <w:rFonts w:hint="eastAsia" w:ascii="仿宋_GB2312" w:hAnsi="Times New Roman" w:eastAsia="仿宋_GB2312" w:cs="Times New Roman"/>
          <w:sz w:val="32"/>
          <w:szCs w:val="32"/>
        </w:rPr>
        <w:t>0571-8723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9817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lang w:val="en-US" w:eastAsia="zh-CN"/>
        </w:rPr>
        <w:t>附件1：</w:t>
      </w:r>
      <w:r>
        <w:rPr>
          <w:rFonts w:hint="eastAsia" w:ascii="仿宋_GB2312" w:hAnsi="Times New Roman" w:eastAsia="仿宋_GB2312" w:cs="Times New Roman"/>
          <w:b/>
          <w:sz w:val="32"/>
          <w:szCs w:val="32"/>
        </w:rPr>
        <w:t>维护保养项目(内容)和要求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半月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季度、半年、全年</w:t>
      </w:r>
      <w:r>
        <w:rPr>
          <w:rFonts w:ascii="仿宋_GB2312" w:hAnsi="Times New Roman" w:eastAsia="仿宋_GB2312" w:cs="Times New Roman"/>
          <w:sz w:val="32"/>
          <w:szCs w:val="32"/>
        </w:rPr>
        <w:t>维护保养项目（内容）和要求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分别</w:t>
      </w:r>
      <w:r>
        <w:rPr>
          <w:rFonts w:ascii="仿宋_GB2312" w:hAnsi="Times New Roman" w:eastAsia="仿宋_GB2312" w:cs="Times New Roman"/>
          <w:sz w:val="32"/>
          <w:szCs w:val="32"/>
        </w:rPr>
        <w:t>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下各。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表C-1 半月维护保养项目（内容）和要求</w:t>
      </w:r>
    </w:p>
    <w:tbl>
      <w:tblPr>
        <w:tblStyle w:val="3"/>
        <w:tblW w:w="86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3576"/>
        <w:gridCol w:w="41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34" w:type="dxa"/>
            <w:tcBorders>
              <w:left w:val="single" w:color="auto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3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  <w:t>维护保养项目（内容）</w:t>
            </w:r>
          </w:p>
        </w:tc>
        <w:tc>
          <w:tcPr>
            <w:tcW w:w="412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643" w:firstLineChars="200"/>
              <w:jc w:val="center"/>
              <w:textAlignment w:val="auto"/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  <w:t>维护保养基本要求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934" w:type="dxa"/>
            <w:tcBorders>
              <w:lef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1</w:t>
            </w:r>
          </w:p>
        </w:tc>
        <w:tc>
          <w:tcPr>
            <w:tcW w:w="3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机房、通道环境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清洁，门窗完好，照明正常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34" w:type="dxa"/>
            <w:tcBorders>
              <w:lef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2</w:t>
            </w:r>
          </w:p>
        </w:tc>
        <w:tc>
          <w:tcPr>
            <w:tcW w:w="3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手动紧急操作装置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齐全，在指定位置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934" w:type="dxa"/>
            <w:tcBorders>
              <w:lef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3</w:t>
            </w:r>
          </w:p>
        </w:tc>
        <w:tc>
          <w:tcPr>
            <w:tcW w:w="3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驱动主机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运行时无异常振动和异常声响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4" w:type="dxa"/>
            <w:tcBorders>
              <w:lef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4</w:t>
            </w:r>
          </w:p>
        </w:tc>
        <w:tc>
          <w:tcPr>
            <w:tcW w:w="3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制动器各销轴部位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润滑，动作灵活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4" w:type="dxa"/>
            <w:tcBorders>
              <w:lef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5</w:t>
            </w:r>
          </w:p>
        </w:tc>
        <w:tc>
          <w:tcPr>
            <w:tcW w:w="3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制动器间隙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打开时制动衬与制动轮不发生摩擦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34" w:type="dxa"/>
            <w:tcBorders>
              <w:lef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6</w:t>
            </w:r>
          </w:p>
        </w:tc>
        <w:tc>
          <w:tcPr>
            <w:tcW w:w="3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限速器各销轴部位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润滑，转动灵活，电气开关正常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4" w:type="dxa"/>
            <w:tcBorders>
              <w:lef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7</w:t>
            </w:r>
          </w:p>
        </w:tc>
        <w:tc>
          <w:tcPr>
            <w:tcW w:w="3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轿顶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清洁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4" w:type="dxa"/>
            <w:tcBorders>
              <w:lef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8</w:t>
            </w:r>
          </w:p>
        </w:tc>
        <w:tc>
          <w:tcPr>
            <w:tcW w:w="3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轿顶停止装置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工作正常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4" w:type="dxa"/>
            <w:tcBorders>
              <w:lef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9</w:t>
            </w:r>
          </w:p>
        </w:tc>
        <w:tc>
          <w:tcPr>
            <w:tcW w:w="3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导靴上油杯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吸油毛毡齐全，油量适宜，油杯无泄漏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4" w:type="dxa"/>
            <w:tcBorders>
              <w:lef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10</w:t>
            </w:r>
          </w:p>
        </w:tc>
        <w:tc>
          <w:tcPr>
            <w:tcW w:w="3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对重/平衡重块及压板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对重/平衡重块无松动，压板紧固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4" w:type="dxa"/>
            <w:tcBorders>
              <w:lef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11</w:t>
            </w:r>
          </w:p>
        </w:tc>
        <w:tc>
          <w:tcPr>
            <w:tcW w:w="3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井道照明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齐全，正常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4" w:type="dxa"/>
            <w:tcBorders>
              <w:lef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12</w:t>
            </w:r>
          </w:p>
        </w:tc>
        <w:tc>
          <w:tcPr>
            <w:tcW w:w="3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轿门门锁触点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清洁，触点接触良好，接线可靠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4" w:type="dxa"/>
            <w:tcBorders>
              <w:lef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13</w:t>
            </w:r>
          </w:p>
        </w:tc>
        <w:tc>
          <w:tcPr>
            <w:tcW w:w="3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层站召唤、层楼显示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齐全，有效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4" w:type="dxa"/>
            <w:tcBorders>
              <w:lef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14</w:t>
            </w:r>
          </w:p>
        </w:tc>
        <w:tc>
          <w:tcPr>
            <w:tcW w:w="3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层门地坎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清洁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4" w:type="dxa"/>
            <w:tcBorders>
              <w:lef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15</w:t>
            </w:r>
          </w:p>
        </w:tc>
        <w:tc>
          <w:tcPr>
            <w:tcW w:w="3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层门门锁自动复位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用层门钥匙打开手动开锁装置释放后，层门门锁能自动复位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4" w:type="dxa"/>
            <w:tcBorders>
              <w:lef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16</w:t>
            </w:r>
          </w:p>
        </w:tc>
        <w:tc>
          <w:tcPr>
            <w:tcW w:w="3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层门门锁电气触点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清洁，触点接触良好，接线可靠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17</w:t>
            </w:r>
          </w:p>
        </w:tc>
        <w:tc>
          <w:tcPr>
            <w:tcW w:w="3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层门锁紧元件啮合长度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不小于5mm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18</w:t>
            </w:r>
          </w:p>
        </w:tc>
        <w:tc>
          <w:tcPr>
            <w:tcW w:w="3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层门门导靴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无卡阻，滑动顺畅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19</w:t>
            </w:r>
          </w:p>
        </w:tc>
        <w:tc>
          <w:tcPr>
            <w:tcW w:w="3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底坑环境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清洁，无渗水、积水，照明正常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20</w:t>
            </w:r>
          </w:p>
        </w:tc>
        <w:tc>
          <w:tcPr>
            <w:tcW w:w="3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底坑停止装置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工作正常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jc w:val="center"/>
        <w:textAlignment w:val="auto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表C-2 季度维护保养项目（内容）和要求</w:t>
      </w:r>
    </w:p>
    <w:tbl>
      <w:tblPr>
        <w:tblStyle w:val="3"/>
        <w:tblW w:w="86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3541"/>
        <w:gridCol w:w="41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69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35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  <w:t>维护保养项目（内容）</w:t>
            </w:r>
          </w:p>
        </w:tc>
        <w:tc>
          <w:tcPr>
            <w:tcW w:w="412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  <w:t>维护保养基本要求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1</w:t>
            </w:r>
          </w:p>
        </w:tc>
        <w:tc>
          <w:tcPr>
            <w:tcW w:w="35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减速机润滑油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油量适宜，除蜗杆伸出端外均无渗漏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2</w:t>
            </w:r>
          </w:p>
        </w:tc>
        <w:tc>
          <w:tcPr>
            <w:tcW w:w="35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制动衬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清洁，磨损量不超制造单位要求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3</w:t>
            </w:r>
          </w:p>
        </w:tc>
        <w:tc>
          <w:tcPr>
            <w:tcW w:w="35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曳引轮槽、悬挂装置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清洁，无严重油腻，张力均匀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4</w:t>
            </w:r>
          </w:p>
        </w:tc>
        <w:tc>
          <w:tcPr>
            <w:tcW w:w="35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限速器轮槽、限速器钢丝绳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清洁，无严重油腻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5</w:t>
            </w:r>
          </w:p>
        </w:tc>
        <w:tc>
          <w:tcPr>
            <w:tcW w:w="35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靴衬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清洁，磨损量不超过制造单位要求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6</w:t>
            </w:r>
          </w:p>
        </w:tc>
        <w:tc>
          <w:tcPr>
            <w:tcW w:w="35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层门、轿门系统中传动钢丝绳、链条、传动带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按照制造单位要求进行清洁、调整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7</w:t>
            </w:r>
          </w:p>
        </w:tc>
        <w:tc>
          <w:tcPr>
            <w:tcW w:w="35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层门门导靴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磨损量不超过制造单位要求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8</w:t>
            </w:r>
          </w:p>
        </w:tc>
        <w:tc>
          <w:tcPr>
            <w:tcW w:w="35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限速器张紧轮装置和电气安全装置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工作正常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表C-3 半年维护保养项目（内容）和要求</w:t>
      </w:r>
    </w:p>
    <w:tbl>
      <w:tblPr>
        <w:tblStyle w:val="3"/>
        <w:tblW w:w="863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3556"/>
        <w:gridCol w:w="412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4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35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  <w:t>维护保养项目（内容）</w:t>
            </w:r>
          </w:p>
        </w:tc>
        <w:tc>
          <w:tcPr>
            <w:tcW w:w="412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  <w:t>维护保养基本要求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1</w:t>
            </w:r>
          </w:p>
        </w:tc>
        <w:tc>
          <w:tcPr>
            <w:tcW w:w="35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电动机与减速机联轴器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连接无松动，弹性元件外观良好，无老化等现象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2</w:t>
            </w:r>
          </w:p>
        </w:tc>
        <w:tc>
          <w:tcPr>
            <w:tcW w:w="35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驱动轮、导向轮轴承部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无异常声响，无振动，润滑良好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3</w:t>
            </w:r>
          </w:p>
        </w:tc>
        <w:tc>
          <w:tcPr>
            <w:tcW w:w="35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制动器上检测开关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工作正常，制动器动作可靠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4</w:t>
            </w:r>
          </w:p>
        </w:tc>
        <w:tc>
          <w:tcPr>
            <w:tcW w:w="35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控制柜内各接线端子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各接线紧固、整齐，线号齐全清晰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5</w:t>
            </w:r>
          </w:p>
        </w:tc>
        <w:tc>
          <w:tcPr>
            <w:tcW w:w="35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控制柜各仪表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显示正确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6</w:t>
            </w:r>
          </w:p>
        </w:tc>
        <w:tc>
          <w:tcPr>
            <w:tcW w:w="35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悬挂装置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磨损量、断丝数未超过要求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7</w:t>
            </w:r>
          </w:p>
        </w:tc>
        <w:tc>
          <w:tcPr>
            <w:tcW w:w="35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绳头组合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螺母无松动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8</w:t>
            </w:r>
          </w:p>
        </w:tc>
        <w:tc>
          <w:tcPr>
            <w:tcW w:w="35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限速器钢丝绳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磨损量、断丝数不超过制造单位要求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9</w:t>
            </w:r>
          </w:p>
        </w:tc>
        <w:tc>
          <w:tcPr>
            <w:tcW w:w="35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对重缓冲距离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符合标准值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10</w:t>
            </w:r>
          </w:p>
        </w:tc>
        <w:tc>
          <w:tcPr>
            <w:tcW w:w="35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上、下极限开关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工作正常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表C-4 年度维护保养项目（内容）和要求</w:t>
      </w:r>
    </w:p>
    <w:tbl>
      <w:tblPr>
        <w:tblStyle w:val="3"/>
        <w:tblW w:w="863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3586"/>
        <w:gridCol w:w="412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924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35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  <w:t>维护保养项目（内容）</w:t>
            </w:r>
          </w:p>
        </w:tc>
        <w:tc>
          <w:tcPr>
            <w:tcW w:w="412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sz w:val="32"/>
                <w:szCs w:val="32"/>
              </w:rPr>
              <w:t>维护保养基本要求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1</w:t>
            </w:r>
          </w:p>
        </w:tc>
        <w:tc>
          <w:tcPr>
            <w:tcW w:w="35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减速机润滑油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按照制造单位要求适时更换，油质符合要求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2</w:t>
            </w:r>
          </w:p>
        </w:tc>
        <w:tc>
          <w:tcPr>
            <w:tcW w:w="35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控制柜接触器、继电器触点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接触良好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3</w:t>
            </w:r>
          </w:p>
        </w:tc>
        <w:tc>
          <w:tcPr>
            <w:tcW w:w="35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制动器铁芯(柱塞)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分解进行清洁、润滑、检查，磨损量不超过制造单位要求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4</w:t>
            </w:r>
          </w:p>
        </w:tc>
        <w:tc>
          <w:tcPr>
            <w:tcW w:w="35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制动器制动弹簧压缩量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符合制造单位要求，保持有足够的制动力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5</w:t>
            </w:r>
          </w:p>
        </w:tc>
        <w:tc>
          <w:tcPr>
            <w:tcW w:w="35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导电回路绝缘性能测试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符合标准值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6</w:t>
            </w:r>
          </w:p>
        </w:tc>
        <w:tc>
          <w:tcPr>
            <w:tcW w:w="35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限速器安全钳联动试验(每5 年进行一次限速器动作速度校验)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工作正常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7</w:t>
            </w:r>
          </w:p>
        </w:tc>
        <w:tc>
          <w:tcPr>
            <w:tcW w:w="35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轿顶、轿厢架、轿门及附件安装螺栓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紧固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8</w:t>
            </w:r>
          </w:p>
        </w:tc>
        <w:tc>
          <w:tcPr>
            <w:tcW w:w="35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轿厢及对重/平衡重导轨支架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固定，无松动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9</w:t>
            </w:r>
          </w:p>
        </w:tc>
        <w:tc>
          <w:tcPr>
            <w:tcW w:w="35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轿厢及对重/平衡重导轨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清洁，压板牢固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10</w:t>
            </w:r>
          </w:p>
        </w:tc>
        <w:tc>
          <w:tcPr>
            <w:tcW w:w="35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随行电缆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无损伤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11</w:t>
            </w:r>
          </w:p>
        </w:tc>
        <w:tc>
          <w:tcPr>
            <w:tcW w:w="35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层门装置和地坎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无影响正常使用的变形，各安装螺栓紧固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12</w:t>
            </w:r>
          </w:p>
        </w:tc>
        <w:tc>
          <w:tcPr>
            <w:tcW w:w="35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安全钳钳座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固定，无松动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13</w:t>
            </w:r>
          </w:p>
        </w:tc>
        <w:tc>
          <w:tcPr>
            <w:tcW w:w="35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轿底各安装螺栓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紧固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14</w:t>
            </w:r>
          </w:p>
        </w:tc>
        <w:tc>
          <w:tcPr>
            <w:tcW w:w="35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缓冲器</w:t>
            </w:r>
          </w:p>
        </w:tc>
        <w:tc>
          <w:tcPr>
            <w:tcW w:w="41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固定，无松动</w:t>
            </w:r>
          </w:p>
        </w:tc>
      </w:tr>
    </w:tbl>
    <w:p>
      <w:pPr>
        <w:spacing w:line="360" w:lineRule="auto"/>
        <w:jc w:val="left"/>
        <w:rPr>
          <w:rFonts w:ascii="Arial" w:hAnsi="Arial" w:eastAsia="黑体" w:cs="Arial"/>
          <w:b/>
          <w:bCs/>
          <w:sz w:val="18"/>
          <w:szCs w:val="18"/>
        </w:rPr>
      </w:pPr>
    </w:p>
    <w:p>
      <w:pPr>
        <w:widowControl/>
        <w:spacing w:line="360" w:lineRule="auto"/>
        <w:jc w:val="left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Arial" w:hAnsi="Arial" w:eastAsia="黑体" w:cs="Arial"/>
          <w:b/>
          <w:bCs/>
          <w:sz w:val="18"/>
          <w:szCs w:val="18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附件</w:t>
      </w:r>
      <w:r>
        <w:rPr>
          <w:rFonts w:hint="eastAsia" w:ascii="仿宋_GB2312" w:hAnsi="Times New Roman" w:eastAsia="仿宋_GB2312" w:cs="Times New Roman"/>
          <w:b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_GB2312" w:hAnsi="宋体" w:eastAsia="仿宋_GB2312" w:cs="Times New Roman"/>
          <w:b/>
          <w:sz w:val="32"/>
          <w:szCs w:val="32"/>
        </w:rPr>
      </w:pPr>
      <w:r>
        <w:rPr>
          <w:rFonts w:hint="eastAsia" w:ascii="仿宋_GB2312" w:hAnsi="宋体" w:eastAsia="仿宋_GB2312" w:cs="Times New Roman"/>
          <w:b/>
          <w:sz w:val="32"/>
          <w:szCs w:val="32"/>
        </w:rPr>
        <w:t>询价</w:t>
      </w:r>
      <w:r>
        <w:rPr>
          <w:rFonts w:hint="eastAsia" w:ascii="仿宋_GB2312" w:hAnsi="宋体" w:eastAsia="仿宋_GB2312" w:cs="Times New Roman"/>
          <w:b/>
          <w:sz w:val="32"/>
          <w:szCs w:val="32"/>
          <w:lang w:val="en-US" w:eastAsia="zh-CN"/>
        </w:rPr>
        <w:t>响应</w:t>
      </w:r>
      <w:r>
        <w:rPr>
          <w:rFonts w:hint="eastAsia" w:ascii="仿宋_GB2312" w:hAnsi="宋体" w:eastAsia="仿宋_GB2312" w:cs="Times New Roman"/>
          <w:b/>
          <w:sz w:val="32"/>
          <w:szCs w:val="32"/>
        </w:rPr>
        <w:t>函</w:t>
      </w:r>
    </w:p>
    <w:p>
      <w:pPr>
        <w:spacing w:line="360" w:lineRule="auto"/>
        <w:rPr>
          <w:rFonts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致：</w:t>
      </w:r>
      <w:r>
        <w:rPr>
          <w:rFonts w:hint="eastAsia" w:ascii="仿宋_GB2312" w:hAnsi="宋体" w:eastAsia="仿宋_GB2312" w:cs="Times New Roman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 w:cs="Times New Roman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我方已仔细研究了</w:t>
      </w:r>
      <w:r>
        <w:rPr>
          <w:rFonts w:hint="eastAsia" w:ascii="仿宋_GB2312" w:hAnsi="宋体" w:eastAsia="仿宋_GB2312" w:cs="Times New Roman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 w:cs="Times New Roman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 w:cs="Times New Roman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 w:cs="Times New Roman"/>
          <w:sz w:val="32"/>
          <w:szCs w:val="32"/>
        </w:rPr>
        <w:t>全部内容进行投标。总报价合计为人民币（大写）</w:t>
      </w:r>
      <w:r>
        <w:rPr>
          <w:rFonts w:hint="eastAsia" w:ascii="仿宋_GB2312" w:hAnsi="宋体" w:eastAsia="仿宋_GB2312" w:cs="Times New Roman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 w:cs="Times New Roman"/>
          <w:sz w:val="32"/>
          <w:szCs w:val="32"/>
        </w:rPr>
        <w:t>元（RMB____________），服务期</w:t>
      </w:r>
      <w:r>
        <w:rPr>
          <w:rFonts w:hint="eastAsia" w:ascii="仿宋_GB2312" w:hAnsi="宋体" w:eastAsia="仿宋_GB2312" w:cs="Times New Roman"/>
          <w:sz w:val="32"/>
          <w:szCs w:val="32"/>
          <w:u w:val="single"/>
        </w:rPr>
        <w:t xml:space="preserve">   </w:t>
      </w:r>
      <w:r>
        <w:rPr>
          <w:rFonts w:hint="eastAsia" w:ascii="仿宋_GB2312" w:hAnsi="宋体" w:eastAsia="仿宋_GB2312" w:cs="Times New Roman"/>
          <w:sz w:val="32"/>
          <w:szCs w:val="32"/>
        </w:rPr>
        <w:t>年。</w:t>
      </w:r>
    </w:p>
    <w:p>
      <w:pPr>
        <w:widowControl w:val="0"/>
        <w:spacing w:line="360" w:lineRule="auto"/>
        <w:ind w:left="0" w:leftChars="0" w:firstLine="640" w:firstLineChars="200"/>
        <w:jc w:val="left"/>
        <w:rPr>
          <w:rFonts w:ascii="仿宋_GB2312" w:hAnsi="宋体" w:eastAsia="仿宋_GB2312" w:cs="Times New Roman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 w:cs="Times New Roman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 w:cs="Times New Roman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 w:cs="Times New Roman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年     月    日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附件</w:t>
      </w:r>
      <w:r>
        <w:rPr>
          <w:rFonts w:hint="eastAsia" w:ascii="仿宋_GB2312" w:hAnsi="Times New Roman" w:eastAsia="仿宋_GB2312" w:cs="Times New Roman"/>
          <w:b/>
          <w:sz w:val="32"/>
          <w:szCs w:val="32"/>
          <w:lang w:val="en-US" w:eastAsia="zh-CN"/>
        </w:rPr>
        <w:t>3</w:t>
      </w:r>
      <w:r>
        <w:rPr>
          <w:rFonts w:hint="eastAsia" w:ascii="仿宋_GB2312" w:hAnsi="Times New Roman" w:eastAsia="仿宋_GB2312" w:cs="Times New Roman"/>
          <w:b/>
          <w:sz w:val="32"/>
          <w:szCs w:val="32"/>
        </w:rPr>
        <w:t>：报价明细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snapToGrid w:val="0"/>
        <w:spacing w:before="50" w:after="50" w:line="360" w:lineRule="auto"/>
        <w:ind w:right="-817" w:rightChars="-389"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法定代表人或授权委托人签字：                    </w:t>
      </w:r>
    </w:p>
    <w:p>
      <w:pPr>
        <w:snapToGrid w:val="0"/>
        <w:spacing w:before="50" w:after="50" w:line="360" w:lineRule="auto"/>
        <w:ind w:left="88" w:leftChars="42" w:right="-817" w:rightChars="-389" w:firstLine="103" w:firstLineChars="37"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供应商名称（盖章）：                           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日期：    年   月  日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both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附件</w:t>
      </w:r>
      <w:r>
        <w:rPr>
          <w:rFonts w:hint="eastAsia" w:ascii="仿宋_GB2312" w:hAnsi="Times New Roman" w:eastAsia="仿宋_GB2312" w:cs="Times New Roman"/>
          <w:b/>
          <w:sz w:val="32"/>
          <w:szCs w:val="32"/>
          <w:lang w:val="en-US" w:eastAsia="zh-CN"/>
        </w:rPr>
        <w:t>4</w:t>
      </w:r>
      <w:r>
        <w:rPr>
          <w:rFonts w:hint="eastAsia" w:ascii="仿宋_GB2312" w:hAnsi="Times New Roman" w:eastAsia="仿宋_GB2312" w:cs="Times New Roman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致：</w:t>
      </w:r>
      <w:r>
        <w:rPr>
          <w:rFonts w:hint="eastAsia" w:ascii="仿宋_GB2312" w:hAnsi="宋体" w:eastAsia="仿宋_GB2312" w:cs="Times New Roman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 w:cs="Times New Roman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项目名称：之江院区食堂餐梯维保服务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  年    月    日</w:t>
      </w: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widowControl w:val="0"/>
        <w:spacing w:line="460" w:lineRule="exact"/>
        <w:ind w:left="200" w:hanging="688" w:hangingChars="200"/>
        <w:jc w:val="both"/>
        <w:rPr>
          <w:rFonts w:ascii="仿宋_GB2312" w:hAnsi="Times New Roman" w:eastAsia="仿宋_GB2312" w:cs="Times New Roman"/>
          <w:spacing w:val="12"/>
          <w:kern w:val="2"/>
          <w:sz w:val="32"/>
          <w:szCs w:val="32"/>
          <w:lang w:val="en-US" w:eastAsia="zh-CN" w:bidi="ar-SA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附件</w:t>
      </w:r>
      <w:r>
        <w:rPr>
          <w:rFonts w:hint="eastAsia" w:ascii="仿宋_GB2312" w:hAnsi="Times New Roman" w:eastAsia="仿宋_GB2312" w:cs="Times New Roman"/>
          <w:b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b/>
          <w:sz w:val="32"/>
          <w:szCs w:val="32"/>
        </w:rPr>
        <w:t>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致：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_________ 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我</w:t>
      </w:r>
      <w:r>
        <w:rPr>
          <w:rFonts w:ascii="仿宋_GB2312" w:hAnsi="Times New Roman" w:eastAsia="仿宋_GB2312" w:cs="Times New Roman"/>
          <w:sz w:val="32"/>
          <w:szCs w:val="32"/>
        </w:rPr>
        <w:t>_______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（姓名）系</w:t>
      </w:r>
      <w:r>
        <w:rPr>
          <w:rFonts w:ascii="仿宋_GB2312" w:hAnsi="Times New Roman" w:eastAsia="仿宋_GB2312" w:cs="Times New Roman"/>
          <w:sz w:val="32"/>
          <w:szCs w:val="32"/>
        </w:rPr>
        <w:t>_____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（投标人名称）的法定代表人，现授权委托本单位在职职工</w:t>
      </w:r>
      <w:r>
        <w:rPr>
          <w:rFonts w:ascii="仿宋_GB2312" w:hAnsi="Times New Roman" w:eastAsia="仿宋_GB2312" w:cs="Times New Roman"/>
          <w:sz w:val="32"/>
          <w:szCs w:val="32"/>
        </w:rPr>
        <w:t>________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（姓名）以我方的名义参加</w:t>
      </w:r>
      <w:r>
        <w:rPr>
          <w:rFonts w:ascii="仿宋_GB2312" w:hAnsi="Times New Roman" w:eastAsia="仿宋_GB2312" w:cs="Times New Roman"/>
          <w:sz w:val="32"/>
          <w:szCs w:val="32"/>
        </w:rPr>
        <w:t>__________________</w:t>
      </w:r>
      <w:r>
        <w:rPr>
          <w:rFonts w:hint="eastAsia" w:ascii="仿宋_GB2312" w:hAnsi="Times New Roman" w:eastAsia="仿宋_GB2312" w:cs="Times New Roman"/>
          <w:sz w:val="32"/>
          <w:szCs w:val="32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被授权人：（签字或盖章）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 法定代表人：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（签字或盖章）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职务：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                     </w:t>
      </w:r>
      <w:r>
        <w:rPr>
          <w:rFonts w:hint="eastAsia" w:ascii="仿宋_GB2312" w:hAnsi="Times New Roman" w:eastAsia="仿宋_GB2312" w:cs="Times New Roman"/>
          <w:sz w:val="32"/>
          <w:szCs w:val="32"/>
        </w:rPr>
        <w:t>职务：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被授权人身份证号码：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年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    </w:t>
      </w:r>
      <w:r>
        <w:rPr>
          <w:rFonts w:hint="eastAsia" w:ascii="仿宋_GB2312" w:hAnsi="Times New Roman" w:eastAsia="仿宋_GB2312" w:cs="Times New Roman"/>
          <w:sz w:val="32"/>
          <w:szCs w:val="32"/>
        </w:rPr>
        <w:t>月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    </w:t>
      </w:r>
      <w:r>
        <w:rPr>
          <w:rFonts w:hint="eastAsia" w:ascii="仿宋_GB2312" w:hAnsi="Times New Roman" w:eastAsia="仿宋_GB2312" w:cs="Times New Roman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spacing w:line="300" w:lineRule="auto"/>
        <w:rPr>
          <w:rFonts w:ascii="仿宋_GB2312" w:hAnsi="仿宋_GB2312" w:eastAsia="仿宋_GB2312" w:cs="仿宋_GB2312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附件</w:t>
      </w:r>
      <w:r>
        <w:rPr>
          <w:rFonts w:hint="eastAsia" w:ascii="仿宋_GB2312" w:hAnsi="Times New Roman" w:eastAsia="仿宋_GB2312" w:cs="Times New Roman"/>
          <w:b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 w:cs="Times New Roman"/>
          <w:sz w:val="28"/>
          <w:szCs w:val="30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rPr>
          <w:rFonts w:ascii="Times New Roman" w:hAnsi="Times New Roman" w:eastAsia="宋体" w:cs="Times New Roman"/>
        </w:rPr>
      </w:pPr>
    </w:p>
    <w:p>
      <w:pPr>
        <w:rPr>
          <w:rFonts w:ascii="Times New Roman" w:hAnsi="Times New Roman" w:eastAsia="宋体" w:cs="Times New Roma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eastAsia="宋体" w:cs="Times New Roman"/>
        <w:kern w:val="2"/>
        <w:sz w:val="21"/>
        <w:szCs w:val="24"/>
        <w:lang w:val="en-US" w:eastAsia="zh-CN" w:bidi="ar-SA"/>
      </w:rPr>
      <w:id w:val="-710033178"/>
      <w:docPartObj>
        <w:docPartGallery w:val="autotext"/>
      </w:docPartObj>
    </w:sdtPr>
    <w:sdtEndP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sdtEndPr>
    <w:sdtContent>
      <w:sdt>
        <w:sdtPr>
          <w:rPr>
            <w:rFonts w:ascii="Times New Roman" w:hAnsi="Times New Roman" w:eastAsia="宋体" w:cs="Times New Roman"/>
            <w:kern w:val="2"/>
            <w:sz w:val="21"/>
            <w:szCs w:val="24"/>
            <w:lang w:val="en-US" w:eastAsia="zh-CN" w:bidi="ar-SA"/>
          </w:rPr>
          <w:id w:val="1728636285"/>
          <w:docPartObj>
            <w:docPartGallery w:val="autotext"/>
          </w:docPartObj>
        </w:sdtPr>
        <w:sdtEndPr>
          <w:rPr>
            <w:rFonts w:ascii="Times New Roman" w:hAnsi="Times New Roman" w:eastAsia="宋体" w:cs="Times New Roman"/>
            <w:kern w:val="2"/>
            <w:sz w:val="18"/>
            <w:szCs w:val="18"/>
            <w:lang w:val="en-US" w:eastAsia="zh-CN" w:bidi="ar-SA"/>
          </w:rPr>
        </w:sdtEndPr>
        <w:sdtContent>
          <w:p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zh-CN" w:eastAsia="zh-CN" w:bidi="ar-SA"/>
              </w:rPr>
              <w:t xml:space="preserve"> </w:t>
            </w:r>
          </w:p>
        </w:sdtContent>
      </w:sdt>
    </w:sdtContent>
  </w:sdt>
  <w:p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5E67C6"/>
    <w:multiLevelType w:val="singleLevel"/>
    <w:tmpl w:val="FA5E67C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17470342"/>
    <w:rsid w:val="001D5FB4"/>
    <w:rsid w:val="17470342"/>
    <w:rsid w:val="19261EC4"/>
    <w:rsid w:val="252A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2023-08-21T06:47:00Z</dcterms:created>
  <dc:creator>豆浆</dc:creator>
  <cp:lastModifiedBy>-LINN-</cp:lastModifiedBy>
  <dcterms:modified xsi:type="dcterms:W3CDTF">2023-08-22T00:37:42Z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2052-12.1.0.15324</vt:lpwstr>
  </property>
  <property fmtid="{D5CDD505-2E9C-101B-9397-08002B2CF9AE}" pid="3" name="ICV">
    <vt:lpwstr>8107693421D74216BA906C62793246D6_11</vt:lpwstr>
  </property>
</Properties>
</file>