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b/>
          <w:sz w:val="60"/>
          <w:szCs w:val="56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sz w:val="60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b/>
          <w:sz w:val="60"/>
          <w:szCs w:val="56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</w:rPr>
        <w:t>浙江大学医学院附属第一医院</w:t>
      </w: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  <w:r>
        <w:rPr>
          <w:rFonts w:hint="eastAsia" w:ascii="仿宋_GB2312" w:hAnsi="仿宋_GB2312" w:eastAsia="仿宋_GB2312" w:cs="仿宋_GB2312"/>
          <w:sz w:val="56"/>
          <w:szCs w:val="56"/>
        </w:rPr>
        <w:t>服务类项目询价函</w:t>
      </w: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>
      <w:pPr>
        <w:spacing w:line="360" w:lineRule="auto"/>
        <w:ind w:left="-420"/>
        <w:jc w:val="center"/>
        <w:rPr>
          <w:rFonts w:hint="eastAsia" w:ascii="仿宋_GB2312" w:hAnsi="仿宋_GB2312" w:eastAsia="仿宋_GB2312" w:cs="仿宋_GB2312"/>
          <w:sz w:val="40"/>
          <w:szCs w:val="56"/>
          <w:u w:val="single"/>
        </w:rPr>
      </w:pPr>
      <w:r>
        <w:rPr>
          <w:rFonts w:hint="eastAsia" w:ascii="仿宋_GB2312" w:hAnsi="仿宋_GB2312" w:eastAsia="仿宋_GB2312" w:cs="仿宋_GB2312"/>
          <w:sz w:val="40"/>
          <w:szCs w:val="56"/>
        </w:rPr>
        <w:t>项目名称：开水炉维保服务</w:t>
      </w:r>
    </w:p>
    <w:p>
      <w:pPr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djustRightInd w:val="0"/>
        <w:snapToGrid w:val="0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  <w:sectPr>
          <w:headerReference r:id="rId3" w:type="default"/>
          <w:footerReference r:id="rId4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cols w:space="720" w:num="1"/>
        </w:sectPr>
      </w:pPr>
    </w:p>
    <w:p>
      <w:pPr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询价函</w:t>
      </w:r>
    </w:p>
    <w:p>
      <w:pPr>
        <w:adjustRightInd w:val="0"/>
        <w:snapToGrid w:val="0"/>
        <w:ind w:firstLine="64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根据我国政府采购法律法规及医院相关管理制度规定, 组织本次服务类项目询价。</w:t>
      </w:r>
    </w:p>
    <w:p>
      <w:pPr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一、询价品目</w:t>
      </w:r>
    </w:p>
    <w:tbl>
      <w:tblPr>
        <w:tblStyle w:val="7"/>
        <w:tblW w:w="8603" w:type="dxa"/>
        <w:tblInd w:w="-83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6"/>
        <w:gridCol w:w="1117"/>
        <w:gridCol w:w="1168"/>
        <w:gridCol w:w="4636"/>
        <w:gridCol w:w="114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5" w:hRule="atLeast"/>
        </w:trPr>
        <w:tc>
          <w:tcPr>
            <w:tcW w:w="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项目名称</w:t>
            </w:r>
          </w:p>
        </w:tc>
        <w:tc>
          <w:tcPr>
            <w:tcW w:w="11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采购方式</w:t>
            </w:r>
          </w:p>
        </w:tc>
        <w:tc>
          <w:tcPr>
            <w:tcW w:w="46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服务要求</w:t>
            </w:r>
          </w:p>
        </w:tc>
        <w:tc>
          <w:tcPr>
            <w:tcW w:w="11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最高限价（万元）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</w:trPr>
        <w:tc>
          <w:tcPr>
            <w:tcW w:w="53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开水炉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维保服务</w:t>
            </w:r>
          </w:p>
        </w:tc>
        <w:tc>
          <w:tcPr>
            <w:tcW w:w="1168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院内询价</w:t>
            </w:r>
          </w:p>
        </w:tc>
        <w:tc>
          <w:tcPr>
            <w:tcW w:w="4636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期限：1年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17.5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</w:trPr>
        <w:tc>
          <w:tcPr>
            <w:tcW w:w="536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8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636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地点：庆春院区、城站院区、大学路院区、之江院区、余杭院区</w:t>
            </w:r>
          </w:p>
        </w:tc>
        <w:tc>
          <w:tcPr>
            <w:tcW w:w="1146" w:type="dxa"/>
            <w:vMerge w:val="continue"/>
            <w:tcBorders>
              <w:left w:val="nil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" w:hRule="atLeast"/>
        </w:trPr>
        <w:tc>
          <w:tcPr>
            <w:tcW w:w="536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68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6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内容：针对庆春、城站、大学路、之江、余杭院区开水炉，配备专业人员与专用工具，提供例行检修保养服务。</w:t>
            </w:r>
          </w:p>
        </w:tc>
        <w:tc>
          <w:tcPr>
            <w:tcW w:w="1146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保修设备名称、数量、型号（详见附件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）：</w:t>
      </w:r>
    </w:p>
    <w:tbl>
      <w:tblPr>
        <w:tblStyle w:val="7"/>
        <w:tblW w:w="8522" w:type="dxa"/>
        <w:tblInd w:w="-108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61"/>
        <w:gridCol w:w="426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院区</w:t>
            </w:r>
          </w:p>
        </w:tc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开水炉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庆春</w:t>
            </w:r>
          </w:p>
        </w:tc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76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城站</w:t>
            </w:r>
          </w:p>
        </w:tc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28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大学路</w:t>
            </w:r>
          </w:p>
        </w:tc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之江</w:t>
            </w:r>
          </w:p>
        </w:tc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余杭</w:t>
            </w:r>
          </w:p>
        </w:tc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4" w:hRule="atLeast"/>
        </w:trPr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合计</w:t>
            </w:r>
          </w:p>
        </w:tc>
        <w:tc>
          <w:tcPr>
            <w:tcW w:w="4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163</w:t>
            </w:r>
          </w:p>
        </w:tc>
      </w:tr>
    </w:tbl>
    <w:p>
      <w:pPr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1、质量标准：</w:t>
      </w:r>
    </w:p>
    <w:p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维保期间，确保设备安全、稳定、可靠运行，各项运行技术参数在正常范围之内。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2、工作内容：</w:t>
      </w:r>
    </w:p>
    <w:p>
      <w:pPr>
        <w:numPr>
          <w:ilvl w:val="0"/>
          <w:numId w:val="1"/>
        </w:numPr>
        <w:adjustRightInd w:val="0"/>
        <w:snapToGrid w:val="0"/>
        <w:ind w:left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每年二次</w:t>
      </w:r>
      <w:r>
        <w:rPr>
          <w:rFonts w:hint="eastAsia" w:ascii="仿宋_GB2312" w:hAnsi="仿宋_GB2312" w:eastAsia="仿宋_GB2312" w:cs="仿宋_GB2312"/>
          <w:sz w:val="32"/>
          <w:szCs w:val="32"/>
        </w:rPr>
        <w:t>年检服务，对机组进行全面检查。</w:t>
      </w:r>
    </w:p>
    <w:p>
      <w:pPr>
        <w:numPr>
          <w:ilvl w:val="0"/>
          <w:numId w:val="1"/>
        </w:numPr>
        <w:adjustRightInd w:val="0"/>
        <w:snapToGrid w:val="0"/>
        <w:ind w:left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须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每年四次</w:t>
      </w:r>
      <w:r>
        <w:rPr>
          <w:rFonts w:hint="eastAsia" w:ascii="仿宋_GB2312" w:hAnsi="仿宋_GB2312" w:eastAsia="仿宋_GB2312" w:cs="仿宋_GB2312"/>
          <w:sz w:val="32"/>
          <w:szCs w:val="32"/>
        </w:rPr>
        <w:t>对开水炉清洗、更换滤芯周期，保证达到饮用水标准，并提供水质检测报告。</w:t>
      </w:r>
    </w:p>
    <w:p>
      <w:pPr>
        <w:numPr>
          <w:ilvl w:val="0"/>
          <w:numId w:val="1"/>
        </w:numPr>
        <w:adjustRightInd w:val="0"/>
        <w:snapToGrid w:val="0"/>
        <w:ind w:left="0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机组一旦发生故障，乙方在接到甲方通知的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半小时内</w:t>
      </w:r>
      <w:r>
        <w:rPr>
          <w:rFonts w:hint="eastAsia" w:ascii="仿宋_GB2312" w:hAnsi="仿宋_GB2312" w:eastAsia="仿宋_GB2312" w:cs="仿宋_GB2312"/>
          <w:sz w:val="32"/>
          <w:szCs w:val="32"/>
        </w:rPr>
        <w:t>到达现场维修，针对故障原因进行调整处理, 进行排除故障工作，直到恢复正常运行。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3、报价范围：</w:t>
      </w:r>
    </w:p>
    <w:p>
      <w:pPr>
        <w:numPr>
          <w:ilvl w:val="0"/>
          <w:numId w:val="2"/>
        </w:num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报价包含维修、维护保养过程中全部人工费，所有配件及材料费。</w:t>
      </w:r>
    </w:p>
    <w:p>
      <w:pPr>
        <w:numPr>
          <w:ilvl w:val="0"/>
          <w:numId w:val="2"/>
        </w:num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因服务商原因造成设备损坏,服务商应负责修复直到设备恢复正常使用，并承担由此引起的费用及责任。</w:t>
      </w:r>
    </w:p>
    <w:p>
      <w:pPr>
        <w:numPr>
          <w:ilvl w:val="0"/>
          <w:numId w:val="2"/>
        </w:num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维保过程中产生的垃圾、更换耗材等由服务商负责及时清运，清运费用由服务商承担。</w:t>
      </w:r>
    </w:p>
    <w:p>
      <w:pPr>
        <w:numPr>
          <w:ilvl w:val="0"/>
          <w:numId w:val="2"/>
        </w:num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水质检测费包含在服务费中，由院方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随机抽样至CMA机构进行送检。</w:t>
      </w:r>
    </w:p>
    <w:p>
      <w:pPr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全院开水器品牌要求：裕豪，科雅达，汉南，音之吉，吉宝，科源美，康丽源，威可利，海晟。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6911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>
      <w:pPr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djustRightInd w:val="0"/>
        <w:snapToGrid w:val="0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p>
      <w:pPr>
        <w:pStyle w:val="3"/>
        <w:adjustRightInd w:val="0"/>
        <w:snapToGrid w:val="0"/>
        <w:ind w:left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adjustRightInd w:val="0"/>
        <w:snapToGrid w:val="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widowControl/>
        <w:adjustRightInd w:val="0"/>
        <w:snapToGrid w:val="0"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>
      <w:pPr>
        <w:adjustRightInd w:val="0"/>
        <w:snapToGrid w:val="0"/>
        <w:spacing w:before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报价明细表-总表</w:t>
      </w:r>
    </w:p>
    <w:tbl>
      <w:tblPr>
        <w:tblStyle w:val="7"/>
        <w:tblpPr w:leftFromText="180" w:rightFromText="180" w:vertAnchor="text" w:horzAnchor="margin" w:tblpY="296"/>
        <w:tblW w:w="8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260"/>
        <w:gridCol w:w="4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</w:trPr>
        <w:tc>
          <w:tcPr>
            <w:tcW w:w="1101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序号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项目名称</w:t>
            </w:r>
          </w:p>
        </w:tc>
        <w:tc>
          <w:tcPr>
            <w:tcW w:w="4623" w:type="dxa"/>
            <w:vAlign w:val="center"/>
          </w:tcPr>
          <w:p>
            <w:pPr>
              <w:adjustRightInd w:val="0"/>
              <w:snapToGrid w:val="0"/>
              <w:ind w:right="-531" w:rightChars="-253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磋商报价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101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人工费</w:t>
            </w:r>
          </w:p>
          <w:p>
            <w:pPr>
              <w:pStyle w:val="6"/>
              <w:adjustRightInd w:val="0"/>
              <w:snapToGrid w:val="0"/>
              <w:spacing w:line="240" w:lineRule="auto"/>
              <w:ind w:left="584" w:hanging="58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（含第三方检测费）</w:t>
            </w:r>
          </w:p>
        </w:tc>
        <w:tc>
          <w:tcPr>
            <w:tcW w:w="4623" w:type="dxa"/>
            <w:vAlign w:val="center"/>
          </w:tcPr>
          <w:p>
            <w:pPr>
              <w:adjustRightInd w:val="0"/>
              <w:snapToGrid w:val="0"/>
              <w:ind w:right="-21" w:rightChars="-1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101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固定耗材费</w:t>
            </w:r>
          </w:p>
        </w:tc>
        <w:tc>
          <w:tcPr>
            <w:tcW w:w="4623" w:type="dxa"/>
            <w:vAlign w:val="center"/>
          </w:tcPr>
          <w:p>
            <w:pPr>
              <w:adjustRightInd w:val="0"/>
              <w:snapToGrid w:val="0"/>
              <w:ind w:right="-21" w:rightChars="-1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1101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3260" w:type="dxa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其他维修材料费</w:t>
            </w:r>
          </w:p>
        </w:tc>
        <w:tc>
          <w:tcPr>
            <w:tcW w:w="4623" w:type="dxa"/>
            <w:vAlign w:val="center"/>
          </w:tcPr>
          <w:p>
            <w:pPr>
              <w:adjustRightInd w:val="0"/>
              <w:snapToGrid w:val="0"/>
              <w:ind w:right="-21" w:rightChars="-1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4361" w:type="dxa"/>
            <w:gridSpan w:val="2"/>
            <w:vAlign w:val="center"/>
          </w:tcPr>
          <w:p>
            <w:pPr>
              <w:adjustRightInd w:val="0"/>
              <w:snapToGrid w:val="0"/>
              <w:ind w:right="-21" w:rightChars="-10"/>
              <w:jc w:val="center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合计（元）</w:t>
            </w:r>
          </w:p>
        </w:tc>
        <w:tc>
          <w:tcPr>
            <w:tcW w:w="4623" w:type="dxa"/>
            <w:vAlign w:val="center"/>
          </w:tcPr>
          <w:p>
            <w:pPr>
              <w:adjustRightInd w:val="0"/>
              <w:snapToGrid w:val="0"/>
              <w:ind w:right="-21" w:rightChars="-1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供应商名称（盖章）：                                               </w:t>
      </w: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年   月  日</w:t>
      </w:r>
    </w:p>
    <w:p>
      <w:pPr>
        <w:pStyle w:val="2"/>
        <w:adjustRightInd w:val="0"/>
        <w:snapToGrid w:val="0"/>
        <w:spacing w:before="0" w:beforeLines="0" w:after="120" w:line="240" w:lineRule="auto"/>
        <w:jc w:val="left"/>
        <w:rPr>
          <w:rFonts w:ascii="仿宋_GB2312" w:hAnsi="仿宋_GB2312" w:eastAsia="仿宋_GB2312" w:cs="仿宋_GB2312"/>
          <w:b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418" w:right="1588" w:bottom="1418" w:left="1588" w:header="851" w:footer="851" w:gutter="0"/>
          <w:cols w:space="720" w:num="1"/>
          <w:titlePg/>
          <w:docGrid w:linePitch="312" w:charSpace="0"/>
        </w:sectPr>
      </w:pPr>
    </w:p>
    <w:p>
      <w:pPr>
        <w:adjustRightInd w:val="0"/>
        <w:snapToGrid w:val="0"/>
        <w:spacing w:before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报价明细表-分表</w:t>
      </w:r>
    </w:p>
    <w:p>
      <w:pPr>
        <w:adjustRightInd w:val="0"/>
        <w:snapToGrid w:val="0"/>
        <w:spacing w:before="50" w:after="50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报价明细表-分表-1（人工费）</w:t>
      </w:r>
    </w:p>
    <w:p>
      <w:pPr>
        <w:adjustRightInd w:val="0"/>
        <w:snapToGrid w:val="0"/>
        <w:spacing w:before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（由供应商自拟人工费组成报价）</w:t>
      </w:r>
    </w:p>
    <w:p>
      <w:pPr>
        <w:adjustRightInd w:val="0"/>
        <w:snapToGrid w:val="0"/>
        <w:spacing w:before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djustRightInd w:val="0"/>
        <w:snapToGrid w:val="0"/>
        <w:spacing w:before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djustRightInd w:val="0"/>
        <w:snapToGrid w:val="0"/>
        <w:spacing w:before="50" w:after="50"/>
        <w:ind w:left="23" w:hanging="174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报价明细表-分表-2（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固定耗材费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788"/>
        <w:gridCol w:w="1789"/>
        <w:gridCol w:w="1789"/>
        <w:gridCol w:w="1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名称</w:t>
            </w: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数量</w:t>
            </w: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单价</w:t>
            </w: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滤芯</w:t>
            </w: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63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台*4次</w:t>
            </w: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8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54" w:type="dxa"/>
            <w:gridSpan w:val="4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总价</w:t>
            </w:r>
          </w:p>
        </w:tc>
        <w:tc>
          <w:tcPr>
            <w:tcW w:w="1789" w:type="dxa"/>
            <w:vAlign w:val="center"/>
          </w:tcPr>
          <w:p>
            <w:pPr>
              <w:pStyle w:val="6"/>
              <w:adjustRightInd w:val="0"/>
              <w:snapToGrid w:val="0"/>
              <w:spacing w:line="240" w:lineRule="auto"/>
              <w:ind w:left="444" w:hanging="444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23" w:hanging="174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报价明细表-分表-3（其他维修材料费）</w:t>
      </w:r>
    </w:p>
    <w:p>
      <w:pPr>
        <w:adjustRightInd w:val="0"/>
        <w:snapToGrid w:val="0"/>
        <w:spacing w:before="50" w:after="50"/>
        <w:ind w:left="48" w:leftChars="-72" w:right="-817" w:rightChars="-389" w:hanging="199" w:hangingChars="62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(由供应商根据项目情况，自拟预计需要更换的维修材料费)</w:t>
      </w: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法定代表人或授权委托人签字：                    </w:t>
      </w: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供应商名称（盖章）：                                               </w:t>
      </w:r>
    </w:p>
    <w:p>
      <w:pPr>
        <w:adjustRightInd w:val="0"/>
        <w:snapToGrid w:val="0"/>
        <w:spacing w:before="50" w:after="50"/>
        <w:ind w:left="47" w:leftChars="-72" w:right="-817" w:rightChars="-389" w:hanging="198" w:hangingChars="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年   月  日</w:t>
      </w:r>
    </w:p>
    <w:p>
      <w:pPr>
        <w:pStyle w:val="2"/>
        <w:adjustRightInd w:val="0"/>
        <w:snapToGrid w:val="0"/>
        <w:spacing w:before="0" w:beforeLines="0" w:after="120" w:line="240" w:lineRule="auto"/>
        <w:jc w:val="left"/>
        <w:rPr>
          <w:rFonts w:ascii="仿宋_GB2312" w:hAnsi="仿宋_GB2312" w:eastAsia="仿宋_GB2312" w:cs="仿宋_GB2312"/>
          <w:b/>
          <w:sz w:val="32"/>
          <w:szCs w:val="32"/>
        </w:rPr>
        <w:sectPr>
          <w:pgSz w:w="11906" w:h="16838"/>
          <w:pgMar w:top="1418" w:right="1588" w:bottom="1418" w:left="1588" w:header="851" w:footer="851" w:gutter="0"/>
          <w:cols w:space="720" w:num="1"/>
          <w:titlePg/>
          <w:docGrid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最终报价明细以“二次报价/初次报价”同比例下浮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项目名称：开水炉维保服务</w:t>
      </w:r>
    </w:p>
    <w:p>
      <w:pPr>
        <w:autoSpaceDE w:val="0"/>
        <w:autoSpaceDN w:val="0"/>
        <w:adjustRightInd w:val="0"/>
        <w:snapToGrid w:val="0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授权代表（签名）：</w:t>
      </w:r>
    </w:p>
    <w:p>
      <w:pPr>
        <w:autoSpaceDE w:val="0"/>
        <w:autoSpaceDN w:val="0"/>
        <w:adjustRightInd w:val="0"/>
        <w:snapToGrid w:val="0"/>
        <w:ind w:firstLine="2560" w:firstLineChars="8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附件4：</w:t>
      </w:r>
    </w:p>
    <w:p>
      <w:pPr>
        <w:adjustRightInd w:val="0"/>
        <w:snapToGrid w:val="0"/>
        <w:spacing w:before="120" w:beforeLines="50" w:after="5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法定代表人授权委托书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致：_________ ：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我方对被授权人的签名事项负全部责任。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被授权人无转委托权，特此委托。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被授权人：（签字或盖章）   法定代表人： （签字或盖章）    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职务：                     职务：           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被授权人身份证号码：                              </w:t>
      </w:r>
    </w:p>
    <w:p>
      <w:pPr>
        <w:adjustRightInd w:val="0"/>
        <w:snapToGrid w:val="0"/>
        <w:spacing w:before="120" w:beforeLines="50" w:after="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（附被授权人身份证正反双面复印件）</w:t>
      </w:r>
    </w:p>
    <w:p>
      <w:pPr>
        <w:adjustRightInd w:val="0"/>
        <w:snapToGrid w:val="0"/>
        <w:spacing w:before="120" w:beforeLines="50" w:after="5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供应商：       （盖章） </w:t>
      </w:r>
    </w:p>
    <w:p>
      <w:pPr>
        <w:adjustRightInd w:val="0"/>
        <w:snapToGrid w:val="0"/>
        <w:spacing w:before="120" w:beforeLines="50" w:after="50"/>
        <w:jc w:val="right"/>
        <w:rPr>
          <w:rFonts w:ascii="仿宋_GB2312" w:hAnsi="仿宋_GB2312" w:eastAsia="仿宋_GB2312" w:cs="仿宋_GB2312"/>
          <w:sz w:val="32"/>
          <w:szCs w:val="32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cols w:space="720" w:num="1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：开水炉数量及位置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庆春、城站、大学路院区、余杭院区、之江院区开水炉位置明细</w:t>
      </w:r>
    </w:p>
    <w:p>
      <w:pPr>
        <w:adjustRightInd w:val="0"/>
        <w:snapToGrid w:val="0"/>
        <w:rPr>
          <w:rFonts w:ascii="仿宋_GB2312" w:hAnsi="仿宋_GB2312" w:eastAsia="仿宋_GB2312" w:cs="仿宋_GB2312"/>
          <w:sz w:val="28"/>
          <w:szCs w:val="28"/>
        </w:rPr>
      </w:pPr>
    </w:p>
    <w:tbl>
      <w:tblPr>
        <w:tblStyle w:val="7"/>
        <w:tblW w:w="8522" w:type="dxa"/>
        <w:tblInd w:w="-108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20"/>
        <w:gridCol w:w="5471"/>
        <w:gridCol w:w="163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</w:trPr>
        <w:tc>
          <w:tcPr>
            <w:tcW w:w="8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浙医一院庆春路院区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地点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数量（台）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1号楼1楼急诊室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1号楼3楼检验科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急诊9号楼办公室2，3，4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2号楼1楼放射科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2一3放射科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2一10楼无菌房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2一11楼血液病区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2一12楼心内科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2一13楼心内科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2一14楼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2一15楼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2一16楼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2一17楼内分必病区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2一18楼消化内科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2一19风湿免疫病区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3一1手外科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3一2骨科病区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3一3泌尿外科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3一4泌尿外科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3一5骨科病区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3一6耳鼻病区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3一7口腔科病反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5一1肛肠外科＜1＞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5一肛肠外科＜2＞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5一2儿科病区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5一2必尿外科病区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5一3妇科 （西区）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5一3产房（东区）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5一4胸外科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5一5心胸外科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5一6甲状腺病房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5一7神经外科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5一8神经外科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5一9神经外科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6B一4手术室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6A一6感染科病区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6B一6肾脏病中心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6B一7楼肾脏病中心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6A一7楼血液病区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6B一8肾脏病科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6A一8感染科病区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6A一9感染病科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6B一9肾脏病科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6A一10感染病科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6B一10放疔中心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6B一11胃肠外科病房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6A一11感染病科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6B一12肝胆胰病区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6A一12楼感染病科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6A一13肝移植病区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6B一13楼肝移植病区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6A一14楼肝胆胰外科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6B一15楼肝胆胰病区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6B一16肝胆外科病房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6B一17楼肝胆胰病区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6B一18楼肝胆胰病区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6B一19〈肺移植科〉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6B一20心脏大血管外科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6B一21老干部病房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6B一22老干部病房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6B一23老干部病房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7一2肿瘤外科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7一3血管外科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7一4神经内科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8一3楼眼科病区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9一3感染病房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9一4感染病房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10一1泌尿外科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10一2日间手术病房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10一3综合病房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10一4泌尿外科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10一5泌尿外科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17一2保卫部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17一3护理部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17一4综合办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18号楼一楼食堂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6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庆春院区开水器合计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b/>
                <w:sz w:val="32"/>
                <w:szCs w:val="32"/>
              </w:rPr>
              <w:t>76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8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浙医一院城站院区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地点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数量（台）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1号楼3楼血液病区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1号楼4楼办公室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2号楼1楼肛肠科病区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2号楼2楼血液病区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2号楼3楼干部病区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2号楼4楼血液科病区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3号楼1楼病区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3号楼2楼病区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3号楼3楼血液病区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3号楼4楼精神卫生病区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5号楼1楼病区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A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5号楼1楼病区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5号楼2楼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A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5号楼2楼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5号楼2楼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C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A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C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A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B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5号楼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C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6号楼1楼康复病区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6号楼2楼甲状腺处科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6号楼3楼肿瘤内科病区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6号楼4楼血液科病区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8号楼1楼病区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号楼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号楼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6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城站院区开水炉合计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8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浙医一院大学路院区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地点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数量（台）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1号楼1楼食堂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1号楼3楼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5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2号楼1楼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6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大学路院区开水器合计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6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总合计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10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7</w:t>
            </w:r>
          </w:p>
        </w:tc>
      </w:tr>
    </w:tbl>
    <w:p>
      <w:pPr>
        <w:widowControl/>
        <w:adjustRightInd w:val="0"/>
        <w:snapToGrid w:val="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</w:p>
    <w:p>
      <w:pPr>
        <w:widowControl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</w:rPr>
        <w:t>余杭院区开水炉</w:t>
      </w:r>
    </w:p>
    <w:tbl>
      <w:tblPr>
        <w:tblStyle w:val="7"/>
        <w:tblW w:w="4998" w:type="pct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6"/>
        <w:gridCol w:w="2462"/>
        <w:gridCol w:w="3321"/>
        <w:gridCol w:w="207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5" w:hRule="atLeast"/>
        </w:trPr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7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97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HF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口腔科、眼科、耳屋喉科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神经外科（三）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10F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普胸外科胃肠外科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神经外科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9F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肝胆膀外科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肝胆膀外科/胃肠外科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8F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结直肠外科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甲状腺、乳腺科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7F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儿科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泌尿外科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6F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妇产科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妇产科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5F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肾脏病中心/内分泌科/风湿免疫科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血透中心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17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bottom"/>
          </w:tcPr>
          <w:p>
            <w:pPr>
              <w:widowControl/>
              <w:adjustRightInd w:val="0"/>
              <w:snapToGrid w:val="0"/>
              <w:ind w:firstLine="482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3#病房楼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HF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消化内科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放射治疗病区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10F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综合内科（-）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普胸外科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9F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骨科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骨科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8F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心血管内科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心脏大血管外科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7F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血液科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骨科（肿瘤、足踝、小儿）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6F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血液科著通病房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肿瘤内科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5F</w:t>
            </w: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东側病房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血液科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0" w:hRule="atLeast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西側病房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血液科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</w:tcPr>
          <w:p>
            <w:pPr>
              <w:widowControl/>
              <w:adjustRightInd w:val="0"/>
              <w:snapToGrid w:val="0"/>
              <w:ind w:firstLine="964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7" w:hRule="atLeast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1号楼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7楼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干部病区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7" w:hRule="atLeast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1号楼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8楼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VIP住院部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7" w:hRule="atLeast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1号楼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西側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9楼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体检部客房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1台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9" w:hRule="atLeast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佘杭院区开水器</w:t>
            </w:r>
          </w:p>
        </w:tc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15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600" w:firstLineChars="200"/>
              <w:jc w:val="left"/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>台</w:t>
            </w:r>
          </w:p>
        </w:tc>
      </w:tr>
    </w:tbl>
    <w:p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28"/>
          <w:szCs w:val="28"/>
        </w:rPr>
      </w:pPr>
    </w:p>
    <w:tbl>
      <w:tblPr>
        <w:tblStyle w:val="7"/>
        <w:tblW w:w="90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5"/>
        <w:gridCol w:w="31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0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之江院区开水炉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之江肝胆胰外科病房(2-2)</w:t>
            </w:r>
          </w:p>
        </w:tc>
        <w:tc>
          <w:tcPr>
            <w:tcW w:w="31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之江肝胆胰外科病房(2-3)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之江议尿外科病房(2-4)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之江普胸外科病房(2-5)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之江普胸外科病房(2-6)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之江结直肠外科病房(2-7)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之江肾脏病中心病房(3-2)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之江甲乳外科病房(3-3)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之江骨科病房(3-4)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之江骨科病房(3-5)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之江眼科/耳鼻咽喉科病房(3-6)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之江感染病科/综合内科病房(3-7)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之江泌尿外科/消化内科病房(3-8)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之江血液科病房(3-9)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之江心血管内科病房(5-1)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之江血液净化中心(5-2)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之江综合监护室(5-3)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之江综合监护室(5-4)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之江血管外科/心脏大血管外科病房 (5-6)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之江胃肠外科病房(5-7)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之江神经内科病房(5 8)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之江神经外科病房(5 9)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之江肿瘤外科/妇科/疼痛科病房(6-10)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之江呼吸内料病房 (5-11)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核医学（8-1）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南门公交车站保卫科门口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（1台开水器）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8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31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26台</w:t>
            </w:r>
          </w:p>
        </w:tc>
      </w:tr>
    </w:tbl>
    <w:p>
      <w:pPr>
        <w:widowControl/>
        <w:adjustRightInd w:val="0"/>
        <w:snapToGrid w:val="0"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widowControl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单套开水炉所需配件明细</w:t>
      </w:r>
    </w:p>
    <w:tbl>
      <w:tblPr>
        <w:tblStyle w:val="7"/>
        <w:tblW w:w="8522" w:type="dxa"/>
        <w:tblInd w:w="-108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84"/>
        <w:gridCol w:w="5955"/>
        <w:gridCol w:w="1283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    称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数量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接触器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温控器普通型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指示灯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不锈钢电热管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电路板按触器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温度器电脑板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热水龙头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不锈钢浮球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1只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不锈钢电热管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3支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温度表普通型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11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不锈钢阀门结头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5个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12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水位传杆器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2套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13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过滤器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1组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14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电线六平六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3米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</w:trPr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15</w:t>
            </w:r>
          </w:p>
        </w:tc>
        <w:tc>
          <w:tcPr>
            <w:tcW w:w="5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电磁阀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1只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adjustRightInd w:val="0"/>
        <w:snapToGrid w:val="0"/>
        <w:spacing w:line="240" w:lineRule="auto"/>
        <w:ind w:left="584" w:hanging="584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suppressAutoHyphens/>
        <w:adjustRightInd w:val="0"/>
        <w:snapToGrid w:val="0"/>
        <w:ind w:left="-108" w:right="-108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endnotePr>
        <w:numFmt w:val="decimal"/>
      </w:endnotePr>
      <w:pgSz w:w="11906" w:h="16838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 xml:space="preserve"> </w:t>
    </w:r>
  </w:p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3"/>
        <w:left w:val="none" w:color="000000" w:sz="0" w:space="3"/>
        <w:right w:val="none" w:color="000000" w:sz="0" w:space="3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)"/>
      <w:lvlJc w:val="left"/>
      <w:pPr>
        <w:ind w:left="0" w:firstLine="0"/>
      </w:pPr>
    </w:lvl>
    <w:lvl w:ilvl="1" w:tentative="0">
      <w:start w:val="1"/>
      <w:numFmt w:val="lowerLetter"/>
      <w:lvlText w:val="%2)"/>
      <w:lvlJc w:val="left"/>
      <w:pPr>
        <w:ind w:left="420" w:firstLine="0"/>
      </w:pPr>
    </w:lvl>
    <w:lvl w:ilvl="2" w:tentative="0">
      <w:start w:val="1"/>
      <w:numFmt w:val="lowerRoman"/>
      <w:lvlText w:val="%3."/>
      <w:lvlJc w:val="left"/>
      <w:pPr>
        <w:ind w:left="840" w:firstLine="0"/>
      </w:pPr>
    </w:lvl>
    <w:lvl w:ilvl="3" w:tentative="0">
      <w:start w:val="1"/>
      <w:numFmt w:val="decimal"/>
      <w:lvlText w:val="%4."/>
      <w:lvlJc w:val="left"/>
      <w:pPr>
        <w:ind w:left="1260" w:firstLine="0"/>
      </w:pPr>
    </w:lvl>
    <w:lvl w:ilvl="4" w:tentative="0">
      <w:start w:val="1"/>
      <w:numFmt w:val="lowerLetter"/>
      <w:lvlText w:val="%5)"/>
      <w:lvlJc w:val="left"/>
      <w:pPr>
        <w:ind w:left="1680" w:firstLine="0"/>
      </w:pPr>
    </w:lvl>
    <w:lvl w:ilvl="5" w:tentative="0">
      <w:start w:val="1"/>
      <w:numFmt w:val="lowerRoman"/>
      <w:lvlText w:val="%6."/>
      <w:lvlJc w:val="left"/>
      <w:pPr>
        <w:ind w:left="2100" w:firstLine="0"/>
      </w:pPr>
    </w:lvl>
    <w:lvl w:ilvl="6" w:tentative="0">
      <w:start w:val="1"/>
      <w:numFmt w:val="decimal"/>
      <w:lvlText w:val="%7."/>
      <w:lvlJc w:val="left"/>
      <w:pPr>
        <w:ind w:left="2520" w:firstLine="0"/>
      </w:pPr>
    </w:lvl>
    <w:lvl w:ilvl="7" w:tentative="0">
      <w:start w:val="1"/>
      <w:numFmt w:val="lowerLetter"/>
      <w:lvlText w:val="%8)"/>
      <w:lvlJc w:val="left"/>
      <w:pPr>
        <w:ind w:left="2940" w:firstLine="0"/>
      </w:pPr>
    </w:lvl>
    <w:lvl w:ilvl="8" w:tentative="0">
      <w:start w:val="1"/>
      <w:numFmt w:val="lowerRoman"/>
      <w:lvlText w:val="%9."/>
      <w:lvlJc w:val="left"/>
      <w:pPr>
        <w:ind w:left="3360" w:firstLine="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)"/>
      <w:lvlJc w:val="left"/>
      <w:pPr>
        <w:ind w:left="640" w:firstLine="0"/>
      </w:pPr>
    </w:lvl>
    <w:lvl w:ilvl="1" w:tentative="0">
      <w:start w:val="1"/>
      <w:numFmt w:val="lowerLetter"/>
      <w:lvlText w:val="%2)"/>
      <w:lvlJc w:val="left"/>
      <w:pPr>
        <w:ind w:left="1060" w:firstLine="0"/>
      </w:pPr>
    </w:lvl>
    <w:lvl w:ilvl="2" w:tentative="0">
      <w:start w:val="1"/>
      <w:numFmt w:val="lowerRoman"/>
      <w:lvlText w:val="%3."/>
      <w:lvlJc w:val="left"/>
      <w:pPr>
        <w:ind w:left="1480" w:firstLine="0"/>
      </w:pPr>
    </w:lvl>
    <w:lvl w:ilvl="3" w:tentative="0">
      <w:start w:val="1"/>
      <w:numFmt w:val="decimal"/>
      <w:lvlText w:val="%4."/>
      <w:lvlJc w:val="left"/>
      <w:pPr>
        <w:ind w:left="1900" w:firstLine="0"/>
      </w:pPr>
    </w:lvl>
    <w:lvl w:ilvl="4" w:tentative="0">
      <w:start w:val="1"/>
      <w:numFmt w:val="lowerLetter"/>
      <w:lvlText w:val="%5)"/>
      <w:lvlJc w:val="left"/>
      <w:pPr>
        <w:ind w:left="2320" w:firstLine="0"/>
      </w:pPr>
    </w:lvl>
    <w:lvl w:ilvl="5" w:tentative="0">
      <w:start w:val="1"/>
      <w:numFmt w:val="lowerRoman"/>
      <w:lvlText w:val="%6."/>
      <w:lvlJc w:val="left"/>
      <w:pPr>
        <w:ind w:left="2740" w:firstLine="0"/>
      </w:pPr>
    </w:lvl>
    <w:lvl w:ilvl="6" w:tentative="0">
      <w:start w:val="1"/>
      <w:numFmt w:val="decimal"/>
      <w:lvlText w:val="%7."/>
      <w:lvlJc w:val="left"/>
      <w:pPr>
        <w:ind w:left="3160" w:firstLine="0"/>
      </w:pPr>
    </w:lvl>
    <w:lvl w:ilvl="7" w:tentative="0">
      <w:start w:val="1"/>
      <w:numFmt w:val="lowerLetter"/>
      <w:lvlText w:val="%8)"/>
      <w:lvlJc w:val="left"/>
      <w:pPr>
        <w:ind w:left="3580" w:firstLine="0"/>
      </w:pPr>
    </w:lvl>
    <w:lvl w:ilvl="8" w:tentative="0">
      <w:start w:val="1"/>
      <w:numFmt w:val="lowerRoman"/>
      <w:lvlText w:val="%9."/>
      <w:lvlJc w:val="left"/>
      <w:pPr>
        <w:ind w:left="400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endnotePr>
    <w:numFmt w:val="decimal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kwZjQxNDk3NjUyZWU1ZDIyMGNhMWRhNWFjZWZiN2QifQ=="/>
  </w:docVars>
  <w:rsids>
    <w:rsidRoot w:val="00D00DAD"/>
    <w:rsid w:val="000112D0"/>
    <w:rsid w:val="002043D3"/>
    <w:rsid w:val="002B0E7C"/>
    <w:rsid w:val="003E2CEE"/>
    <w:rsid w:val="005646A6"/>
    <w:rsid w:val="0058667B"/>
    <w:rsid w:val="00682C19"/>
    <w:rsid w:val="006A3856"/>
    <w:rsid w:val="008654EF"/>
    <w:rsid w:val="0088141F"/>
    <w:rsid w:val="008F7E0D"/>
    <w:rsid w:val="00913F4F"/>
    <w:rsid w:val="00951CF6"/>
    <w:rsid w:val="00980E74"/>
    <w:rsid w:val="009F27D8"/>
    <w:rsid w:val="00B32D90"/>
    <w:rsid w:val="00B74EE7"/>
    <w:rsid w:val="00C028EA"/>
    <w:rsid w:val="00CA2B75"/>
    <w:rsid w:val="00D00DAD"/>
    <w:rsid w:val="00E7319A"/>
    <w:rsid w:val="00E876F6"/>
    <w:rsid w:val="09543E6F"/>
    <w:rsid w:val="0C965124"/>
    <w:rsid w:val="28C3384A"/>
    <w:rsid w:val="3270068D"/>
    <w:rsid w:val="4BA83376"/>
    <w:rsid w:val="6FCC6F24"/>
    <w:rsid w:val="742041DE"/>
    <w:rsid w:val="767D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3">
    <w:name w:val="Date"/>
    <w:basedOn w:val="1"/>
    <w:next w:val="1"/>
    <w:qFormat/>
    <w:uiPriority w:val="0"/>
    <w:pPr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</w:pBdr>
      <w:ind w:left="2500"/>
    </w:pPr>
    <w:rPr>
      <w:sz w:val="44"/>
      <w:szCs w:val="44"/>
    </w:rPr>
  </w:style>
  <w:style w:type="paragraph" w:styleId="4">
    <w:name w:val="footer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tabs>
        <w:tab w:val="center" w:pos="4153"/>
        <w:tab w:val="right" w:pos="8306"/>
      </w:tabs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qFormat/>
    <w:uiPriority w:val="0"/>
    <w:rPr>
      <w:color w:val="800080"/>
      <w:u w:val="single"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List Paragraph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ind w:firstLine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customStyle="1" w:styleId="13">
    <w:name w:val="文件正文版式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line="460" w:lineRule="atLeast"/>
      <w:jc w:val="both"/>
    </w:pPr>
    <w:rPr>
      <w:rFonts w:ascii="宋体" w:hAnsi="宋体" w:eastAsia="宋体" w:cs="Times New Roman"/>
      <w:b/>
      <w:bCs/>
      <w:kern w:val="1"/>
      <w:sz w:val="24"/>
      <w:szCs w:val="24"/>
      <w:lang w:val="en-US" w:eastAsia="zh-CN" w:bidi="ar-SA"/>
    </w:rPr>
  </w:style>
  <w:style w:type="paragraph" w:customStyle="1" w:styleId="14">
    <w:name w:val="font5"/>
    <w:qFormat/>
    <w:uiPriority w:val="0"/>
    <w:pPr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before="100" w:beforeAutospacing="1" w:after="100" w:afterAutospacing="1"/>
    </w:pPr>
    <w:rPr>
      <w:rFonts w:ascii="Tahoma" w:hAnsi="Tahoma" w:eastAsia="宋体" w:cs="Tahoma"/>
      <w:kern w:val="1"/>
      <w:sz w:val="18"/>
      <w:szCs w:val="18"/>
      <w:lang w:val="en-US" w:eastAsia="zh-CN" w:bidi="ar-SA"/>
    </w:rPr>
  </w:style>
  <w:style w:type="paragraph" w:customStyle="1" w:styleId="15">
    <w:name w:val="xl65"/>
    <w:qFormat/>
    <w:uiPriority w:val="0"/>
    <w:pPr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16">
    <w:name w:val="xl66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17">
    <w:name w:val="xl67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b/>
      <w:bCs/>
      <w:kern w:val="1"/>
      <w:sz w:val="24"/>
      <w:szCs w:val="24"/>
      <w:lang w:val="en-US" w:eastAsia="zh-CN" w:bidi="ar-SA"/>
    </w:rPr>
  </w:style>
  <w:style w:type="paragraph" w:customStyle="1" w:styleId="18">
    <w:name w:val="xl68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3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19">
    <w:name w:val="xl69"/>
    <w:qFormat/>
    <w:uiPriority w:val="0"/>
    <w:pPr>
      <w:pBdr>
        <w:top w:val="single" w:color="000000" w:sz="4" w:space="0"/>
        <w:left w:val="none" w:color="000000" w:sz="0" w:space="3"/>
        <w:bottom w:val="single" w:color="000000" w:sz="4" w:space="0"/>
        <w:right w:val="none" w:color="000000" w:sz="0" w:space="3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paragraph" w:customStyle="1" w:styleId="20">
    <w:name w:val="xl70"/>
    <w:qFormat/>
    <w:uiPriority w:val="0"/>
    <w:pPr>
      <w:pBdr>
        <w:top w:val="single" w:color="000000" w:sz="4" w:space="0"/>
        <w:left w:val="none" w:color="000000" w:sz="0" w:space="3"/>
        <w:bottom w:val="single" w:color="000000" w:sz="4" w:space="0"/>
        <w:right w:val="single" w:color="000000" w:sz="4" w:space="0"/>
        <w:between w:val="none" w:color="000000" w:sz="0" w:space="0"/>
      </w:pBdr>
      <w:spacing w:before="100" w:beforeAutospacing="1" w:after="100" w:afterAutospacing="1"/>
      <w:jc w:val="center"/>
    </w:pPr>
    <w:rPr>
      <w:rFonts w:ascii="华文中宋" w:hAnsi="华文中宋" w:eastAsia="华文中宋" w:cs="宋体"/>
      <w:kern w:val="1"/>
      <w:sz w:val="21"/>
      <w:szCs w:val="21"/>
      <w:lang w:val="en-US" w:eastAsia="zh-CN" w:bidi="ar-SA"/>
    </w:rPr>
  </w:style>
  <w:style w:type="character" w:customStyle="1" w:styleId="21">
    <w:name w:val="页眉 Char"/>
    <w:qFormat/>
    <w:uiPriority w:val="0"/>
    <w:rPr>
      <w:sz w:val="18"/>
      <w:szCs w:val="18"/>
    </w:rPr>
  </w:style>
  <w:style w:type="character" w:customStyle="1" w:styleId="22">
    <w:name w:val="页脚 Char"/>
    <w:qFormat/>
    <w:uiPriority w:val="0"/>
    <w:rPr>
      <w:sz w:val="18"/>
      <w:szCs w:val="18"/>
    </w:rPr>
  </w:style>
  <w:style w:type="character" w:customStyle="1" w:styleId="23">
    <w:name w:val="日期 Char"/>
    <w:qFormat/>
    <w:uiPriority w:val="0"/>
    <w:rPr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392</Words>
  <Characters>2238</Characters>
  <Lines>18</Lines>
  <Paragraphs>5</Paragraphs>
  <TotalTime>0</TotalTime>
  <ScaleCrop>false</ScaleCrop>
  <LinksUpToDate>false</LinksUpToDate>
  <CharactersWithSpaces>2625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2021-09-01T00:05:00Z</dcterms:created>
  <dc:creator>陈希琳</dc:creator>
  <cp:lastModifiedBy>-LINN-</cp:lastModifiedBy>
  <dcterms:modified xsi:type="dcterms:W3CDTF">2023-09-05T07:43:15Z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F01F72542A1F45E1A2A93F19371FB4A4</vt:lpwstr>
  </property>
</Properties>
</file>