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ind w:left="1168" w:hanging="1168"/>
        <w:rPr>
          <w:rFonts w:ascii="宋体"/>
          <w:sz w:val="56"/>
          <w:szCs w:val="56"/>
          <w:lang w:val="zh-CN"/>
        </w:rPr>
      </w:pPr>
    </w:p>
    <w:p>
      <w:pPr>
        <w:pStyle w:val="2"/>
        <w:ind w:left="1168" w:hanging="1168"/>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pStyle w:val="2"/>
        <w:ind w:left="1168" w:hanging="1168"/>
        <w:rPr>
          <w:sz w:val="56"/>
          <w:szCs w:val="56"/>
          <w:lang w:val="zh-CN"/>
        </w:rPr>
      </w:pPr>
    </w:p>
    <w:p>
      <w:pPr>
        <w:autoSpaceDE w:val="0"/>
        <w:autoSpaceDN w:val="0"/>
        <w:adjustRightInd w:val="0"/>
        <w:snapToGrid w:val="0"/>
        <w:spacing w:line="360" w:lineRule="auto"/>
        <w:jc w:val="center"/>
        <w:rPr>
          <w:rFonts w:hint="default" w:ascii="宋体"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zh-CN"/>
        </w:rPr>
        <w:t>项目名称：</w:t>
      </w:r>
      <w:r>
        <w:rPr>
          <w:rFonts w:hint="eastAsia" w:ascii="宋体"/>
          <w:sz w:val="40"/>
          <w:szCs w:val="56"/>
          <w:lang w:val="en-US" w:eastAsia="zh-CN"/>
        </w:rPr>
        <w:t>浙江大学医学院附属第一医院余杭院区二期建设工程水土保持方案编制</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pPr>
        <w:pStyle w:val="2"/>
        <w:ind w:left="528" w:hanging="528"/>
        <w:rPr>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411" w:type="pct"/>
        <w:jc w:val="center"/>
        <w:tblLayout w:type="autofit"/>
        <w:tblCellMar>
          <w:top w:w="0" w:type="dxa"/>
          <w:left w:w="108" w:type="dxa"/>
          <w:bottom w:w="0" w:type="dxa"/>
          <w:right w:w="108" w:type="dxa"/>
        </w:tblCellMar>
      </w:tblPr>
      <w:tblGrid>
        <w:gridCol w:w="856"/>
        <w:gridCol w:w="2908"/>
        <w:gridCol w:w="1537"/>
        <w:gridCol w:w="2617"/>
        <w:gridCol w:w="1305"/>
      </w:tblGrid>
      <w:tr>
        <w:tblPrEx>
          <w:tblCellMar>
            <w:top w:w="0" w:type="dxa"/>
            <w:left w:w="108" w:type="dxa"/>
            <w:bottom w:w="0" w:type="dxa"/>
            <w:right w:w="108" w:type="dxa"/>
          </w:tblCellMar>
        </w:tblPrEx>
        <w:trPr>
          <w:trHeight w:val="465" w:hRule="atLeast"/>
          <w:jc w:val="center"/>
        </w:trPr>
        <w:tc>
          <w:tcPr>
            <w:tcW w:w="46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5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83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采购方式</w:t>
            </w:r>
          </w:p>
        </w:tc>
        <w:tc>
          <w:tcPr>
            <w:tcW w:w="141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服务要求</w:t>
            </w:r>
          </w:p>
        </w:tc>
        <w:tc>
          <w:tcPr>
            <w:tcW w:w="70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default" w:ascii="仿宋_GB2312" w:eastAsia="仿宋_GB2312"/>
                <w:sz w:val="28"/>
                <w:szCs w:val="28"/>
                <w:lang w:val="en-US" w:eastAsia="zh-CN"/>
              </w:rPr>
            </w:pPr>
            <w:r>
              <w:rPr>
                <w:rFonts w:hint="eastAsia" w:ascii="仿宋_GB2312" w:eastAsia="仿宋_GB2312"/>
                <w:sz w:val="28"/>
                <w:szCs w:val="28"/>
                <w:lang w:val="zh-CN"/>
              </w:rPr>
              <w:t>预算（</w:t>
            </w:r>
            <w:r>
              <w:rPr>
                <w:rFonts w:hint="eastAsia" w:ascii="仿宋_GB2312" w:eastAsia="仿宋_GB2312"/>
                <w:sz w:val="28"/>
                <w:szCs w:val="28"/>
                <w:lang w:val="en-US" w:eastAsia="zh-CN"/>
              </w:rPr>
              <w:t>万元）</w:t>
            </w:r>
          </w:p>
        </w:tc>
      </w:tr>
      <w:tr>
        <w:tblPrEx>
          <w:tblCellMar>
            <w:top w:w="0" w:type="dxa"/>
            <w:left w:w="108" w:type="dxa"/>
            <w:bottom w:w="0" w:type="dxa"/>
            <w:right w:w="108" w:type="dxa"/>
          </w:tblCellMar>
        </w:tblPrEx>
        <w:trPr>
          <w:trHeight w:val="465" w:hRule="atLeast"/>
          <w:jc w:val="center"/>
        </w:trPr>
        <w:tc>
          <w:tcPr>
            <w:tcW w:w="46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1</w:t>
            </w:r>
          </w:p>
        </w:tc>
        <w:tc>
          <w:tcPr>
            <w:tcW w:w="157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default" w:ascii="仿宋_GB2312" w:eastAsia="仿宋_GB2312"/>
                <w:sz w:val="28"/>
                <w:szCs w:val="28"/>
                <w:lang w:val="en-US"/>
              </w:rPr>
            </w:pPr>
            <w:r>
              <w:rPr>
                <w:rFonts w:hint="eastAsia" w:ascii="仿宋_GB2312" w:eastAsia="仿宋_GB2312"/>
                <w:sz w:val="32"/>
                <w:szCs w:val="32"/>
                <w:lang w:val="en-US" w:eastAsia="zh-CN"/>
              </w:rPr>
              <w:t>浙江大学医学院附属第一医院余杭院区二期建设工程水土保持方案编制</w:t>
            </w:r>
          </w:p>
        </w:tc>
        <w:tc>
          <w:tcPr>
            <w:tcW w:w="83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院内询价</w:t>
            </w:r>
          </w:p>
        </w:tc>
        <w:tc>
          <w:tcPr>
            <w:tcW w:w="141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余杭区</w:t>
            </w:r>
          </w:p>
          <w:p>
            <w:pPr>
              <w:autoSpaceDE w:val="0"/>
              <w:autoSpaceDN w:val="0"/>
              <w:adjustRightInd w:val="0"/>
              <w:snapToGrid w:val="0"/>
              <w:jc w:val="center"/>
              <w:rPr>
                <w:rFonts w:hint="default" w:ascii="仿宋_GB2312" w:eastAsia="仿宋_GB2312"/>
                <w:sz w:val="28"/>
                <w:szCs w:val="28"/>
                <w:lang w:val="en-US" w:eastAsia="zh-CN"/>
              </w:rPr>
            </w:pPr>
            <w:r>
              <w:rPr>
                <w:rFonts w:hint="eastAsia" w:ascii="仿宋_GB2312" w:eastAsia="仿宋_GB2312"/>
                <w:sz w:val="28"/>
                <w:szCs w:val="28"/>
                <w:lang w:val="zh-CN"/>
              </w:rPr>
              <w:t>内容：</w:t>
            </w:r>
            <w:r>
              <w:rPr>
                <w:rFonts w:hint="eastAsia" w:ascii="仿宋_GB2312" w:eastAsia="仿宋_GB2312"/>
                <w:sz w:val="28"/>
                <w:szCs w:val="28"/>
                <w:lang w:val="en-US" w:eastAsia="zh-CN"/>
              </w:rPr>
              <w:t>项目水土保持方案编制</w:t>
            </w:r>
          </w:p>
        </w:tc>
        <w:tc>
          <w:tcPr>
            <w:tcW w:w="707"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9.5</w:t>
            </w:r>
          </w:p>
        </w:tc>
      </w:tr>
    </w:tbl>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bCs/>
          <w:sz w:val="28"/>
          <w:szCs w:val="28"/>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bCs/>
          <w:sz w:val="28"/>
          <w:szCs w:val="28"/>
        </w:rPr>
        <w:t>服务范围及内容：</w:t>
      </w:r>
    </w:p>
    <w:p>
      <w:pPr>
        <w:autoSpaceDE w:val="0"/>
        <w:autoSpaceDN w:val="0"/>
        <w:adjustRightInd w:val="0"/>
        <w:snapToGrid w:val="0"/>
        <w:spacing w:line="360" w:lineRule="auto"/>
        <w:ind w:firstLine="560" w:firstLineChars="200"/>
        <w:rPr>
          <w:rFonts w:ascii="仿宋_GB2312" w:eastAsia="仿宋_GB2312"/>
          <w:sz w:val="28"/>
          <w:szCs w:val="28"/>
        </w:rPr>
      </w:pPr>
      <w:r>
        <w:rPr>
          <w:rFonts w:hint="eastAsia" w:ascii="仿宋_GB2312" w:eastAsia="仿宋_GB2312"/>
          <w:sz w:val="28"/>
          <w:szCs w:val="28"/>
          <w:lang w:val="en-US" w:eastAsia="zh-CN"/>
        </w:rPr>
        <w:t>浙江大学医学院附属第一医院余杭院区二期建设工程水土保持方案，按照国家和地方颁布的有关规范及要求进行编制水土保持方案报告，编制范围深度及质量以通过有关水行政主管部门组织的水土保持方案审查标准为准，并取得杭州市林业水利局批复意见；</w:t>
      </w:r>
    </w:p>
    <w:p>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（四）服务质量要求：</w:t>
      </w:r>
    </w:p>
    <w:p>
      <w:pPr>
        <w:autoSpaceDE w:val="0"/>
        <w:autoSpaceDN w:val="0"/>
        <w:adjustRightInd w:val="0"/>
        <w:snapToGrid w:val="0"/>
        <w:spacing w:line="360" w:lineRule="auto"/>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编制范围深度及质量以通过有关水行政主管部门组织的水土保持方案审查标准为准，并取得杭州市林业水利局批复意见</w:t>
      </w:r>
    </w:p>
    <w:p>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（五）服务期</w:t>
      </w:r>
    </w:p>
    <w:p>
      <w:pPr>
        <w:autoSpaceDE w:val="0"/>
        <w:autoSpaceDN w:val="0"/>
        <w:adjustRightInd w:val="0"/>
        <w:snapToGrid w:val="0"/>
        <w:spacing w:line="360" w:lineRule="auto"/>
        <w:ind w:firstLine="560" w:firstLineChars="200"/>
        <w:rPr>
          <w:rFonts w:ascii="仿宋_GB2312" w:eastAsia="仿宋_GB2312"/>
          <w:sz w:val="28"/>
          <w:szCs w:val="28"/>
          <w:lang w:val="zh-CN"/>
        </w:rPr>
      </w:pPr>
      <w:r>
        <w:rPr>
          <w:rFonts w:hint="eastAsia" w:ascii="仿宋_GB2312" w:eastAsia="仿宋_GB2312"/>
          <w:sz w:val="28"/>
          <w:szCs w:val="28"/>
        </w:rPr>
        <w:t>服务</w:t>
      </w:r>
      <w:r>
        <w:rPr>
          <w:rFonts w:hint="eastAsia" w:ascii="仿宋_GB2312" w:eastAsia="仿宋_GB2312"/>
          <w:sz w:val="28"/>
          <w:szCs w:val="28"/>
          <w:lang w:val="zh-CN"/>
        </w:rPr>
        <w:t>期为合同签订后至</w:t>
      </w:r>
      <w:r>
        <w:rPr>
          <w:rFonts w:hint="eastAsia" w:ascii="仿宋_GB2312" w:eastAsia="仿宋_GB2312"/>
          <w:sz w:val="28"/>
          <w:szCs w:val="28"/>
          <w:lang w:val="en-US" w:eastAsia="zh-CN"/>
        </w:rPr>
        <w:t>水土保持方案批复</w:t>
      </w:r>
      <w:r>
        <w:rPr>
          <w:rFonts w:hint="eastAsia" w:ascii="仿宋_GB2312" w:eastAsia="仿宋_GB2312"/>
          <w:sz w:val="28"/>
          <w:szCs w:val="28"/>
        </w:rPr>
        <w:t>所有工作内容完成之日</w:t>
      </w:r>
      <w:r>
        <w:rPr>
          <w:rFonts w:hint="eastAsia" w:ascii="仿宋_GB2312" w:eastAsia="仿宋_GB2312"/>
          <w:sz w:val="28"/>
          <w:szCs w:val="28"/>
          <w:lang w:val="zh-CN"/>
        </w:rPr>
        <w:t>止</w:t>
      </w:r>
      <w:r>
        <w:rPr>
          <w:rFonts w:hint="eastAsia" w:ascii="仿宋_GB2312" w:eastAsia="仿宋_GB2312"/>
          <w:sz w:val="28"/>
          <w:szCs w:val="28"/>
        </w:rPr>
        <w:t>。</w:t>
      </w:r>
    </w:p>
    <w:p>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（六）报价要求</w:t>
      </w:r>
    </w:p>
    <w:p>
      <w:pPr>
        <w:widowControl/>
        <w:ind w:firstLine="560" w:firstLineChars="200"/>
        <w:jc w:val="lef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1、供应商应根据本询价函和所提供的资料及</w:t>
      </w:r>
      <w:r>
        <w:rPr>
          <w:rFonts w:hint="eastAsia" w:ascii="仿宋" w:hAnsi="仿宋" w:eastAsia="仿宋" w:cs="仿宋"/>
          <w:color w:val="000000"/>
          <w:kern w:val="0"/>
          <w:sz w:val="28"/>
          <w:szCs w:val="28"/>
          <w:lang w:val="en-US" w:eastAsia="zh-CN" w:bidi="ar"/>
        </w:rPr>
        <w:t>水土保持方案</w:t>
      </w:r>
      <w:r>
        <w:rPr>
          <w:rFonts w:hint="eastAsia" w:ascii="仿宋" w:hAnsi="仿宋" w:eastAsia="仿宋" w:cs="仿宋"/>
          <w:color w:val="000000"/>
          <w:kern w:val="0"/>
          <w:sz w:val="28"/>
          <w:szCs w:val="28"/>
          <w:lang w:bidi="ar"/>
        </w:rPr>
        <w:t>范围、内容，结合自身</w:t>
      </w:r>
      <w:r>
        <w:rPr>
          <w:rFonts w:hint="eastAsia" w:ascii="仿宋" w:hAnsi="仿宋" w:eastAsia="仿宋" w:cs="仿宋"/>
          <w:color w:val="000000"/>
          <w:kern w:val="0"/>
          <w:sz w:val="28"/>
          <w:szCs w:val="28"/>
          <w:lang w:val="en-US" w:eastAsia="zh-CN" w:bidi="ar"/>
        </w:rPr>
        <w:t>水土保持方案编制</w:t>
      </w:r>
      <w:r>
        <w:rPr>
          <w:rFonts w:hint="eastAsia" w:ascii="仿宋" w:hAnsi="仿宋" w:eastAsia="仿宋" w:cs="仿宋"/>
          <w:color w:val="000000"/>
          <w:kern w:val="0"/>
          <w:sz w:val="28"/>
          <w:szCs w:val="28"/>
          <w:lang w:bidi="ar"/>
        </w:rPr>
        <w:t>的投入进行竞争报价。</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val="en-US" w:eastAsia="zh-CN" w:bidi="ar"/>
        </w:rPr>
        <w:t>水土保持方案编制</w:t>
      </w:r>
      <w:r>
        <w:rPr>
          <w:rFonts w:hint="eastAsia" w:ascii="仿宋" w:hAnsi="仿宋" w:eastAsia="仿宋" w:cs="仿宋"/>
          <w:color w:val="000000"/>
          <w:kern w:val="0"/>
          <w:sz w:val="28"/>
          <w:szCs w:val="28"/>
          <w:lang w:bidi="ar"/>
        </w:rPr>
        <w:t>报价应包括为完成本项目服务可能发生的全部费用及</w:t>
      </w:r>
      <w:r>
        <w:rPr>
          <w:rFonts w:hint="eastAsia" w:ascii="仿宋" w:hAnsi="仿宋" w:eastAsia="仿宋" w:cs="仿宋"/>
          <w:color w:val="000000"/>
          <w:kern w:val="0"/>
          <w:sz w:val="28"/>
          <w:szCs w:val="28"/>
          <w:lang w:val="en-US" w:eastAsia="zh-CN" w:bidi="ar"/>
        </w:rPr>
        <w:t>水土保持方案编制</w:t>
      </w:r>
      <w:r>
        <w:rPr>
          <w:rFonts w:hint="eastAsia" w:ascii="仿宋" w:hAnsi="仿宋" w:eastAsia="仿宋" w:cs="仿宋"/>
          <w:color w:val="000000"/>
          <w:kern w:val="0"/>
          <w:sz w:val="28"/>
          <w:szCs w:val="28"/>
          <w:lang w:bidi="ar"/>
        </w:rPr>
        <w:t>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w:t>
      </w:r>
      <w:r>
        <w:rPr>
          <w:rFonts w:hint="eastAsia" w:ascii="仿宋" w:hAnsi="仿宋" w:eastAsia="仿宋" w:cs="仿宋"/>
          <w:color w:val="000000"/>
          <w:kern w:val="0"/>
          <w:sz w:val="28"/>
          <w:szCs w:val="28"/>
          <w:lang w:val="en-US" w:eastAsia="zh-CN" w:bidi="ar"/>
        </w:rPr>
        <w:t>水土保持方案</w:t>
      </w:r>
      <w:r>
        <w:rPr>
          <w:rFonts w:hint="eastAsia" w:ascii="仿宋" w:hAnsi="仿宋" w:eastAsia="仿宋" w:cs="仿宋"/>
          <w:color w:val="000000"/>
          <w:kern w:val="0"/>
          <w:sz w:val="28"/>
          <w:szCs w:val="28"/>
          <w:lang w:bidi="ar"/>
        </w:rPr>
        <w:t>供应商对询价内容的费用、质量、服务等实行全面承包。</w:t>
      </w:r>
    </w:p>
    <w:p>
      <w:pPr>
        <w:autoSpaceDE w:val="0"/>
        <w:autoSpaceDN w:val="0"/>
        <w:adjustRightInd w:val="0"/>
        <w:snapToGrid w:val="0"/>
        <w:spacing w:line="360" w:lineRule="auto"/>
        <w:ind w:firstLine="562" w:firstLineChars="200"/>
        <w:rPr>
          <w:rFonts w:ascii="仿宋_GB2312" w:eastAsia="仿宋_GB2312"/>
          <w:sz w:val="28"/>
          <w:szCs w:val="28"/>
        </w:rPr>
      </w:pPr>
      <w:r>
        <w:rPr>
          <w:rFonts w:hint="eastAsia" w:ascii="仿宋_GB2312" w:eastAsia="仿宋_GB2312"/>
          <w:b/>
          <w:bCs/>
          <w:sz w:val="28"/>
          <w:szCs w:val="28"/>
        </w:rPr>
        <w:t>（七）款项支付：</w:t>
      </w:r>
      <w:r>
        <w:rPr>
          <w:rFonts w:hint="eastAsia" w:ascii="仿宋_GB2312" w:eastAsia="仿宋_GB2312"/>
          <w:sz w:val="28"/>
          <w:szCs w:val="28"/>
        </w:rPr>
        <w:t>（具体以合同签订时约定为准）</w:t>
      </w:r>
    </w:p>
    <w:p>
      <w:pPr>
        <w:widowControl/>
        <w:ind w:firstLine="560" w:firstLineChars="200"/>
        <w:jc w:val="left"/>
        <w:rPr>
          <w:sz w:val="28"/>
          <w:szCs w:val="28"/>
        </w:rPr>
      </w:pPr>
      <w:r>
        <w:rPr>
          <w:rFonts w:hint="eastAsia" w:ascii="仿宋" w:hAnsi="仿宋" w:eastAsia="仿宋" w:cs="仿宋"/>
          <w:color w:val="000000"/>
          <w:kern w:val="0"/>
          <w:sz w:val="28"/>
          <w:szCs w:val="28"/>
          <w:lang w:val="en-US" w:eastAsia="zh-CN" w:bidi="ar"/>
        </w:rPr>
        <w:t>1</w:t>
      </w:r>
      <w:r>
        <w:rPr>
          <w:rFonts w:hint="eastAsia" w:ascii="仿宋" w:hAnsi="仿宋" w:eastAsia="仿宋" w:cs="仿宋"/>
          <w:color w:val="000000"/>
          <w:kern w:val="0"/>
          <w:sz w:val="28"/>
          <w:szCs w:val="28"/>
          <w:lang w:bidi="ar"/>
        </w:rPr>
        <w:t>、</w:t>
      </w:r>
      <w:r>
        <w:rPr>
          <w:rFonts w:hint="eastAsia" w:ascii="仿宋" w:hAnsi="仿宋" w:eastAsia="仿宋" w:cs="仿宋"/>
          <w:color w:val="000000"/>
          <w:kern w:val="0"/>
          <w:sz w:val="28"/>
          <w:szCs w:val="28"/>
          <w:lang w:val="en-US" w:eastAsia="zh-CN" w:bidi="ar"/>
        </w:rPr>
        <w:t>水土保持方案</w:t>
      </w:r>
      <w:r>
        <w:rPr>
          <w:rFonts w:hint="eastAsia" w:ascii="仿宋_GB2312" w:eastAsia="仿宋_GB2312"/>
          <w:sz w:val="28"/>
          <w:szCs w:val="28"/>
          <w:lang w:val="en-US" w:eastAsia="zh-CN"/>
        </w:rPr>
        <w:t>取得杭州市林业水利局批复意见</w:t>
      </w:r>
      <w:r>
        <w:rPr>
          <w:rFonts w:hint="eastAsia" w:ascii="仿宋" w:hAnsi="仿宋" w:eastAsia="仿宋" w:cs="仿宋"/>
          <w:color w:val="000000"/>
          <w:kern w:val="0"/>
          <w:sz w:val="28"/>
          <w:szCs w:val="28"/>
          <w:lang w:bidi="ar"/>
        </w:rPr>
        <w:t>。</w:t>
      </w:r>
    </w:p>
    <w:p>
      <w:pPr>
        <w:autoSpaceDE w:val="0"/>
        <w:autoSpaceDN w:val="0"/>
        <w:adjustRightInd w:val="0"/>
        <w:snapToGrid w:val="0"/>
        <w:spacing w:line="360" w:lineRule="auto"/>
        <w:ind w:firstLine="420" w:firstLineChars="200"/>
      </w:pP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pPr>
        <w:autoSpaceDE w:val="0"/>
        <w:autoSpaceDN w:val="0"/>
        <w:adjustRightInd w:val="0"/>
        <w:snapToGrid w:val="0"/>
        <w:spacing w:line="360" w:lineRule="auto"/>
        <w:ind w:firstLine="640" w:firstLineChars="200"/>
        <w:rPr>
          <w:rFonts w:ascii="仿宋_GB2312" w:eastAsia="仿宋_GB2312"/>
          <w:color w:val="auto"/>
          <w:sz w:val="32"/>
          <w:szCs w:val="32"/>
        </w:rPr>
      </w:pPr>
      <w:r>
        <w:rPr>
          <w:rFonts w:hint="eastAsia" w:ascii="仿宋_GB2312" w:eastAsia="仿宋_GB2312"/>
          <w:color w:val="auto"/>
          <w:sz w:val="32"/>
          <w:szCs w:val="32"/>
        </w:rPr>
        <w:t>1、询价时间：202</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12</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日</w:t>
      </w:r>
      <w:r>
        <w:rPr>
          <w:rFonts w:hint="eastAsia" w:ascii="仿宋_GB2312" w:eastAsia="仿宋_GB2312"/>
          <w:color w:val="auto"/>
          <w:sz w:val="32"/>
          <w:szCs w:val="32"/>
          <w:lang w:val="en-US" w:eastAsia="zh-CN"/>
        </w:rPr>
        <w:t>13</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0（请于13:</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 xml:space="preserve">提前到场签到）     </w:t>
      </w:r>
      <w:bookmarkStart w:id="0" w:name="_GoBack"/>
      <w:bookmarkEnd w:id="0"/>
    </w:p>
    <w:p>
      <w:pPr>
        <w:autoSpaceDE w:val="0"/>
        <w:autoSpaceDN w:val="0"/>
        <w:adjustRightInd w:val="0"/>
        <w:snapToGrid w:val="0"/>
        <w:spacing w:line="360" w:lineRule="auto"/>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rPr>
        <w:t>2、询价地址：杭州市庆春路79号浙大一院</w:t>
      </w:r>
      <w:r>
        <w:rPr>
          <w:rFonts w:ascii="仿宋_GB2312" w:eastAsia="仿宋_GB2312"/>
          <w:color w:val="auto"/>
          <w:sz w:val="32"/>
          <w:szCs w:val="32"/>
        </w:rPr>
        <w:t>17</w:t>
      </w:r>
      <w:r>
        <w:rPr>
          <w:rFonts w:hint="eastAsia" w:ascii="仿宋_GB2312" w:eastAsia="仿宋_GB2312"/>
          <w:color w:val="auto"/>
          <w:sz w:val="32"/>
          <w:szCs w:val="32"/>
        </w:rPr>
        <w:t>号楼</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楼</w:t>
      </w:r>
      <w:r>
        <w:rPr>
          <w:rFonts w:hint="eastAsia" w:ascii="仿宋_GB2312" w:eastAsia="仿宋_GB2312"/>
          <w:color w:val="auto"/>
          <w:sz w:val="32"/>
          <w:szCs w:val="32"/>
          <w:lang w:val="en-US" w:eastAsia="zh-CN"/>
        </w:rPr>
        <w:t>余杭厅</w:t>
      </w:r>
    </w:p>
    <w:p>
      <w:pPr>
        <w:autoSpaceDE w:val="0"/>
        <w:autoSpaceDN w:val="0"/>
        <w:adjustRightInd w:val="0"/>
        <w:snapToGrid w:val="0"/>
        <w:spacing w:line="360" w:lineRule="auto"/>
        <w:ind w:firstLine="640" w:firstLineChars="200"/>
        <w:rPr>
          <w:rFonts w:ascii="仿宋_GB2312" w:eastAsia="仿宋_GB2312"/>
          <w:b/>
          <w:bCs/>
          <w:sz w:val="32"/>
          <w:szCs w:val="32"/>
        </w:rPr>
      </w:pPr>
      <w:r>
        <w:rPr>
          <w:rFonts w:ascii="仿宋_GB2312" w:eastAsia="仿宋_GB2312"/>
          <w:sz w:val="32"/>
          <w:szCs w:val="32"/>
        </w:rPr>
        <w:t>3</w:t>
      </w:r>
      <w:r>
        <w:rPr>
          <w:rFonts w:hint="eastAsia" w:ascii="仿宋_GB2312" w:eastAsia="仿宋_GB2312"/>
          <w:sz w:val="32"/>
          <w:szCs w:val="32"/>
        </w:rPr>
        <w:t>、询价文件一式两份，</w:t>
      </w:r>
      <w:r>
        <w:rPr>
          <w:rFonts w:hint="eastAsia" w:ascii="仿宋_GB2312" w:eastAsia="仿宋_GB2312"/>
          <w:b/>
          <w:bCs/>
          <w:sz w:val="32"/>
          <w:szCs w:val="32"/>
        </w:rPr>
        <w:t>二次报价函空白单独打印盖章，现场填写</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highlight w:val="none"/>
        </w:rPr>
        <w:t>15157193696</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6"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 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pPr>
              <w:spacing w:line="360" w:lineRule="auto"/>
              <w:rPr>
                <w:sz w:val="24"/>
              </w:rPr>
            </w:pPr>
            <w:r>
              <w:rPr>
                <w:rFonts w:hint="eastAsia"/>
                <w:sz w:val="24"/>
              </w:rPr>
              <w:t>单  价</w:t>
            </w:r>
          </w:p>
          <w:p>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pPr>
              <w:spacing w:line="360" w:lineRule="auto"/>
              <w:jc w:val="center"/>
              <w:rPr>
                <w:sz w:val="24"/>
              </w:rPr>
            </w:pPr>
            <w:r>
              <w:rPr>
                <w:rFonts w:hint="eastAsia"/>
                <w:sz w:val="24"/>
              </w:rPr>
              <w:t>合  价</w:t>
            </w:r>
          </w:p>
          <w:p>
            <w:pPr>
              <w:spacing w:line="360" w:lineRule="auto"/>
              <w:jc w:val="center"/>
              <w:rPr>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pPr>
              <w:spacing w:line="360" w:lineRule="auto"/>
              <w:jc w:val="left"/>
              <w:rPr>
                <w:sz w:val="24"/>
              </w:rPr>
            </w:pPr>
            <w:r>
              <w:rPr>
                <w:rFonts w:hint="eastAsia"/>
                <w:sz w:val="24"/>
              </w:rPr>
              <w:t>1</w:t>
            </w:r>
          </w:p>
        </w:tc>
        <w:tc>
          <w:tcPr>
            <w:tcW w:w="1653" w:type="dxa"/>
            <w:tcBorders>
              <w:top w:val="single" w:color="auto" w:sz="12" w:space="0"/>
            </w:tcBorders>
            <w:vAlign w:val="center"/>
          </w:tcPr>
          <w:p>
            <w:pPr>
              <w:spacing w:line="360" w:lineRule="auto"/>
              <w:jc w:val="left"/>
              <w:rPr>
                <w:sz w:val="24"/>
              </w:rPr>
            </w:pPr>
          </w:p>
        </w:tc>
        <w:tc>
          <w:tcPr>
            <w:tcW w:w="796" w:type="dxa"/>
            <w:tcBorders>
              <w:top w:val="single" w:color="auto" w:sz="12" w:space="0"/>
            </w:tcBorders>
            <w:vAlign w:val="center"/>
          </w:tcPr>
          <w:p>
            <w:pPr>
              <w:spacing w:line="360" w:lineRule="auto"/>
              <w:jc w:val="left"/>
              <w:rPr>
                <w:sz w:val="24"/>
              </w:rPr>
            </w:pPr>
          </w:p>
        </w:tc>
        <w:tc>
          <w:tcPr>
            <w:tcW w:w="1920" w:type="dxa"/>
            <w:tcBorders>
              <w:top w:val="single" w:color="auto" w:sz="12" w:space="0"/>
            </w:tcBorders>
            <w:vAlign w:val="center"/>
          </w:tcPr>
          <w:p>
            <w:pPr>
              <w:spacing w:line="360" w:lineRule="auto"/>
              <w:jc w:val="left"/>
              <w:rPr>
                <w:sz w:val="24"/>
              </w:rPr>
            </w:pPr>
          </w:p>
        </w:tc>
        <w:tc>
          <w:tcPr>
            <w:tcW w:w="1390" w:type="dxa"/>
            <w:tcBorders>
              <w:top w:val="single" w:color="auto" w:sz="12" w:space="0"/>
            </w:tcBorders>
            <w:vAlign w:val="center"/>
          </w:tcPr>
          <w:p>
            <w:pPr>
              <w:spacing w:line="360" w:lineRule="auto"/>
              <w:jc w:val="left"/>
              <w:rPr>
                <w:sz w:val="24"/>
              </w:rPr>
            </w:pPr>
          </w:p>
        </w:tc>
        <w:tc>
          <w:tcPr>
            <w:tcW w:w="1091" w:type="dxa"/>
            <w:tcBorders>
              <w:top w:val="single" w:color="auto" w:sz="12" w:space="0"/>
            </w:tcBorders>
            <w:vAlign w:val="center"/>
          </w:tcPr>
          <w:p>
            <w:pPr>
              <w:spacing w:line="360" w:lineRule="auto"/>
              <w:jc w:val="left"/>
              <w:rPr>
                <w:sz w:val="24"/>
              </w:rPr>
            </w:pPr>
          </w:p>
        </w:tc>
        <w:tc>
          <w:tcPr>
            <w:tcW w:w="1392" w:type="dxa"/>
            <w:tcBorders>
              <w:top w:val="single" w:color="auto" w:sz="12" w:space="0"/>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2</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3</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4</w:t>
            </w: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5</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r>
              <w:rPr>
                <w:rFonts w:hint="eastAsia"/>
                <w:sz w:val="24"/>
              </w:rPr>
              <w:t>6</w:t>
            </w:r>
          </w:p>
        </w:tc>
        <w:tc>
          <w:tcPr>
            <w:tcW w:w="1653" w:type="dxa"/>
            <w:vAlign w:val="center"/>
          </w:tcPr>
          <w:p>
            <w:pPr>
              <w:spacing w:line="360" w:lineRule="auto"/>
              <w:jc w:val="left"/>
              <w:rPr>
                <w:sz w:val="24"/>
              </w:rPr>
            </w:pPr>
            <w:r>
              <w:rPr>
                <w:rFonts w:hint="eastAsia" w:ascii="宋体" w:hAnsi="宋体"/>
                <w:sz w:val="24"/>
              </w:rPr>
              <w:t>……</w:t>
            </w: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pPr>
              <w:spacing w:line="360" w:lineRule="auto"/>
              <w:jc w:val="left"/>
              <w:rPr>
                <w:sz w:val="24"/>
              </w:rPr>
            </w:pPr>
          </w:p>
        </w:tc>
        <w:tc>
          <w:tcPr>
            <w:tcW w:w="1653" w:type="dxa"/>
            <w:vAlign w:val="center"/>
          </w:tcPr>
          <w:p>
            <w:pPr>
              <w:spacing w:line="360" w:lineRule="auto"/>
              <w:jc w:val="left"/>
              <w:rPr>
                <w:sz w:val="24"/>
              </w:rPr>
            </w:pPr>
          </w:p>
        </w:tc>
        <w:tc>
          <w:tcPr>
            <w:tcW w:w="796" w:type="dxa"/>
            <w:vAlign w:val="center"/>
          </w:tcPr>
          <w:p>
            <w:pPr>
              <w:spacing w:line="360" w:lineRule="auto"/>
              <w:jc w:val="left"/>
              <w:rPr>
                <w:sz w:val="24"/>
              </w:rPr>
            </w:pPr>
          </w:p>
        </w:tc>
        <w:tc>
          <w:tcPr>
            <w:tcW w:w="1920" w:type="dxa"/>
            <w:vAlign w:val="center"/>
          </w:tcPr>
          <w:p>
            <w:pPr>
              <w:spacing w:line="360" w:lineRule="auto"/>
              <w:jc w:val="left"/>
              <w:rPr>
                <w:sz w:val="24"/>
              </w:rPr>
            </w:pPr>
          </w:p>
        </w:tc>
        <w:tc>
          <w:tcPr>
            <w:tcW w:w="1390" w:type="dxa"/>
            <w:vAlign w:val="center"/>
          </w:tcPr>
          <w:p>
            <w:pPr>
              <w:spacing w:line="360" w:lineRule="auto"/>
              <w:jc w:val="left"/>
              <w:rPr>
                <w:sz w:val="24"/>
              </w:rPr>
            </w:pPr>
          </w:p>
        </w:tc>
        <w:tc>
          <w:tcPr>
            <w:tcW w:w="1091" w:type="dxa"/>
            <w:vAlign w:val="center"/>
          </w:tcPr>
          <w:p>
            <w:pPr>
              <w:spacing w:line="360" w:lineRule="auto"/>
              <w:jc w:val="left"/>
              <w:rPr>
                <w:sz w:val="24"/>
              </w:rPr>
            </w:pPr>
          </w:p>
        </w:tc>
        <w:tc>
          <w:tcPr>
            <w:tcW w:w="1392" w:type="dxa"/>
            <w:tcBorders>
              <w:right w:val="single" w:color="auto" w:sz="12" w:space="0"/>
            </w:tcBorders>
            <w:vAlign w:val="center"/>
          </w:tcPr>
          <w:p>
            <w:pPr>
              <w:spacing w:line="360" w:lineRule="auto"/>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pPr>
              <w:spacing w:line="360" w:lineRule="auto"/>
              <w:jc w:val="left"/>
              <w:rPr>
                <w:sz w:val="24"/>
              </w:rPr>
            </w:pPr>
            <w:r>
              <w:rPr>
                <w:rFonts w:hint="eastAsia"/>
                <w:sz w:val="24"/>
              </w:rPr>
              <w:t xml:space="preserve">                                      万元</w:t>
            </w:r>
          </w:p>
        </w:tc>
      </w:tr>
    </w:tbl>
    <w:p>
      <w:pPr>
        <w:spacing w:line="360" w:lineRule="auto"/>
        <w:jc w:val="left"/>
        <w:rPr>
          <w:sz w:val="24"/>
        </w:rPr>
      </w:pPr>
      <w:r>
        <w:rPr>
          <w:rFonts w:hint="eastAsia"/>
          <w:sz w:val="24"/>
        </w:rPr>
        <w:t xml:space="preserve">  供应商（盖章）：            法定代表或授权代表（签字或盖章）：</w:t>
      </w:r>
    </w:p>
    <w:p>
      <w:pPr>
        <w:widowControl/>
        <w:jc w:val="left"/>
        <w:rPr>
          <w:rFonts w:ascii="仿宋_GB2312" w:eastAsia="仿宋_GB2312"/>
          <w:b/>
          <w:sz w:val="32"/>
          <w:szCs w:val="32"/>
        </w:rPr>
      </w:pP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2234" w:leftChars="1064" w:firstLine="320" w:firstLineChars="100"/>
        <w:rPr>
          <w:rFonts w:ascii="仿宋_GB2312" w:eastAsia="仿宋_GB2312"/>
          <w:sz w:val="32"/>
          <w:szCs w:val="32"/>
        </w:rPr>
      </w:pPr>
      <w:r>
        <w:rPr>
          <w:rFonts w:hint="eastAsia" w:ascii="仿宋_GB2312" w:eastAsia="仿宋_GB2312"/>
          <w:sz w:val="32"/>
          <w:szCs w:val="32"/>
        </w:rPr>
        <w:t>项目名称：浙江大学医学院附属第一医院余杭院区二期建设工程水土保持方案编制</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hint="eastAsia"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4</w:t>
      </w:r>
      <w:r>
        <w:rPr>
          <w:rFonts w:hint="eastAsia" w:ascii="仿宋_GB2312" w:eastAsia="仿宋_GB2312"/>
          <w:b/>
          <w:sz w:val="32"/>
          <w:szCs w:val="32"/>
        </w:rPr>
        <w:t>：</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6238"/>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3BD8"/>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328714A"/>
    <w:rsid w:val="07AE0DD3"/>
    <w:rsid w:val="094931B5"/>
    <w:rsid w:val="0D3A1F53"/>
    <w:rsid w:val="0F824086"/>
    <w:rsid w:val="163F4A7E"/>
    <w:rsid w:val="168F1DC9"/>
    <w:rsid w:val="19F85470"/>
    <w:rsid w:val="19FE5F86"/>
    <w:rsid w:val="1F777407"/>
    <w:rsid w:val="22123047"/>
    <w:rsid w:val="22A26DD5"/>
    <w:rsid w:val="240F5A90"/>
    <w:rsid w:val="273D46C2"/>
    <w:rsid w:val="28B61F81"/>
    <w:rsid w:val="30FB3BB9"/>
    <w:rsid w:val="31D976DD"/>
    <w:rsid w:val="345847BB"/>
    <w:rsid w:val="3DB63E8D"/>
    <w:rsid w:val="3E6447D3"/>
    <w:rsid w:val="418D1221"/>
    <w:rsid w:val="430420E0"/>
    <w:rsid w:val="4C1861F7"/>
    <w:rsid w:val="4DE33977"/>
    <w:rsid w:val="4F253B0A"/>
    <w:rsid w:val="4FF0236A"/>
    <w:rsid w:val="50626680"/>
    <w:rsid w:val="50894BE5"/>
    <w:rsid w:val="5160707C"/>
    <w:rsid w:val="519F7BA4"/>
    <w:rsid w:val="529A0378"/>
    <w:rsid w:val="52C06024"/>
    <w:rsid w:val="53764934"/>
    <w:rsid w:val="59DB0274"/>
    <w:rsid w:val="6272612D"/>
    <w:rsid w:val="6659436D"/>
    <w:rsid w:val="67D90EF1"/>
    <w:rsid w:val="68E51EE8"/>
    <w:rsid w:val="694C30C1"/>
    <w:rsid w:val="6BCF71ED"/>
    <w:rsid w:val="6D853616"/>
    <w:rsid w:val="6D95660F"/>
    <w:rsid w:val="6EC152DE"/>
    <w:rsid w:val="6F0F2046"/>
    <w:rsid w:val="728564EA"/>
    <w:rsid w:val="72FE2D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qFormat/>
    <w:uiPriority w:val="0"/>
    <w:pPr>
      <w:ind w:left="2500" w:leftChars="2500"/>
    </w:pPr>
    <w:rPr>
      <w:sz w:val="44"/>
      <w:szCs w:val="44"/>
      <w:lang w:val="zh-CN"/>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日期 Char"/>
    <w:basedOn w:val="8"/>
    <w:link w:val="3"/>
    <w:qFormat/>
    <w:uiPriority w:val="0"/>
    <w:rPr>
      <w:rFonts w:ascii="Times New Roman" w:hAnsi="Times New Roman" w:eastAsia="宋体" w:cs="Times New Roman"/>
      <w:sz w:val="44"/>
      <w:szCs w:val="44"/>
      <w:lang w:val="zh-CN"/>
    </w:rPr>
  </w:style>
  <w:style w:type="paragraph" w:customStyle="1" w:styleId="13">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2389</Words>
  <Characters>2605</Characters>
  <Lines>23</Lines>
  <Paragraphs>6</Paragraphs>
  <TotalTime>0</TotalTime>
  <ScaleCrop>false</ScaleCrop>
  <LinksUpToDate>false</LinksUpToDate>
  <CharactersWithSpaces>2952</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2022-06-28T09:47:00Z</dcterms:created>
  <dc:creator>陈希琳</dc:creator>
  <cp:lastModifiedBy>-LINN-</cp:lastModifiedBy>
  <cp:lastPrinted>2020-09-01T07:08:00Z</cp:lastPrinted>
  <dcterms:modified xsi:type="dcterms:W3CDTF">2023-12-18T06:05:32Z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3F637A9B1A0F433DB9E1313749630BA6_13</vt:lpwstr>
  </property>
</Properties>
</file>