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rPr>
          <w:rFonts w:ascii="宋体"/>
          <w:sz w:val="56"/>
          <w:szCs w:val="56"/>
          <w:lang w:val="zh-CN"/>
        </w:rPr>
      </w:pPr>
    </w:p>
    <w:p>
      <w:pPr>
        <w:pStyle w:val="2"/>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rPr>
          <w:sz w:val="56"/>
          <w:szCs w:val="56"/>
          <w:lang w:val="zh-CN"/>
        </w:rPr>
      </w:pPr>
    </w:p>
    <w:p>
      <w:pPr>
        <w:pStyle w:val="2"/>
        <w:rPr>
          <w:sz w:val="56"/>
          <w:szCs w:val="56"/>
          <w:lang w:val="zh-CN"/>
        </w:rPr>
      </w:pPr>
    </w:p>
    <w:p>
      <w:pPr>
        <w:pStyle w:val="2"/>
        <w:rPr>
          <w:sz w:val="56"/>
          <w:szCs w:val="56"/>
          <w:lang w:val="zh-CN"/>
        </w:rPr>
      </w:pPr>
    </w:p>
    <w:p>
      <w:pPr>
        <w:autoSpaceDE w:val="0"/>
        <w:autoSpaceDN w:val="0"/>
        <w:adjustRightInd w:val="0"/>
        <w:snapToGrid w:val="0"/>
        <w:spacing w:line="360" w:lineRule="auto"/>
        <w:jc w:val="center"/>
        <w:rPr>
          <w:rFonts w:hint="eastAsia" w:ascii="宋体"/>
          <w:sz w:val="40"/>
          <w:szCs w:val="56"/>
          <w:lang w:val="zh-CN"/>
        </w:rPr>
      </w:pPr>
      <w:r>
        <w:rPr>
          <w:rFonts w:hint="eastAsia" w:ascii="宋体"/>
          <w:sz w:val="40"/>
          <w:szCs w:val="56"/>
          <w:lang w:val="zh-CN"/>
        </w:rPr>
        <w:t>项目名称：</w:t>
      </w:r>
      <w:r>
        <w:rPr>
          <w:rFonts w:hint="eastAsia" w:ascii="宋体"/>
          <w:sz w:val="40"/>
          <w:szCs w:val="56"/>
          <w:lang w:val="zh-CN" w:eastAsia="zh-CN"/>
        </w:rPr>
        <w:t>浙江大学医学院附属第一医院</w:t>
      </w:r>
      <w:r>
        <w:rPr>
          <w:rFonts w:hint="eastAsia" w:ascii="宋体"/>
          <w:sz w:val="40"/>
          <w:szCs w:val="56"/>
          <w:lang w:val="zh-CN"/>
        </w:rPr>
        <w:t>钱塘</w:t>
      </w:r>
    </w:p>
    <w:p>
      <w:pPr>
        <w:autoSpaceDE w:val="0"/>
        <w:autoSpaceDN w:val="0"/>
        <w:adjustRightInd w:val="0"/>
        <w:snapToGrid w:val="0"/>
        <w:spacing w:line="360" w:lineRule="auto"/>
        <w:jc w:val="center"/>
        <w:rPr>
          <w:rFonts w:hint="eastAsia" w:ascii="宋体"/>
          <w:sz w:val="40"/>
          <w:szCs w:val="56"/>
          <w:lang w:val="zh-CN"/>
        </w:rPr>
      </w:pPr>
      <w:r>
        <w:rPr>
          <w:rFonts w:hint="eastAsia" w:ascii="宋体"/>
          <w:sz w:val="40"/>
          <w:szCs w:val="56"/>
          <w:lang w:val="en-US" w:eastAsia="zh-CN"/>
        </w:rPr>
        <w:t xml:space="preserve">    </w:t>
      </w:r>
      <w:r>
        <w:rPr>
          <w:rFonts w:hint="eastAsia" w:ascii="宋体"/>
          <w:sz w:val="40"/>
          <w:szCs w:val="56"/>
          <w:lang w:val="zh-CN"/>
        </w:rPr>
        <w:t>科研创新中心综合修缮工程</w:t>
      </w:r>
    </w:p>
    <w:p>
      <w:pPr>
        <w:autoSpaceDE w:val="0"/>
        <w:autoSpaceDN w:val="0"/>
        <w:adjustRightInd w:val="0"/>
        <w:snapToGrid w:val="0"/>
        <w:spacing w:line="360" w:lineRule="auto"/>
        <w:jc w:val="center"/>
        <w:rPr>
          <w:rFonts w:hint="default" w:eastAsia="宋体"/>
          <w:sz w:val="40"/>
          <w:szCs w:val="56"/>
          <w:lang w:val="en-US"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rFonts w:hint="eastAsia"/>
          <w:sz w:val="40"/>
          <w:szCs w:val="56"/>
          <w:lang w:val="en-US" w:eastAsia="zh-CN"/>
        </w:rPr>
        <w:t xml:space="preserve">  </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hint="eastAsia"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pPr>
        <w:pStyle w:val="2"/>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856"/>
        <w:gridCol w:w="2909"/>
        <w:gridCol w:w="1537"/>
        <w:gridCol w:w="2210"/>
        <w:gridCol w:w="1496"/>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1496" w:type="dxa"/>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江大学医学院附属第一医院钱塘科研创新中心综合修缮工程项目建议书及可行性研究报告</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院内询价</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庆春院区</w:t>
            </w:r>
          </w:p>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内容：编制项目建议书及可行性研究报告。</w:t>
            </w:r>
          </w:p>
        </w:tc>
        <w:tc>
          <w:tcPr>
            <w:tcW w:w="83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highlight w:val="none"/>
                <w:lang w:val="en-US" w:eastAsia="zh-CN"/>
              </w:rPr>
              <w:t>12.75</w:t>
            </w:r>
            <w:r>
              <w:rPr>
                <w:rFonts w:ascii="仿宋_GB2312" w:eastAsia="仿宋_GB2312"/>
                <w:sz w:val="28"/>
                <w:szCs w:val="28"/>
                <w:highlight w:val="none"/>
                <w:lang w:val="zh-CN"/>
              </w:rPr>
              <w:t>万元</w:t>
            </w:r>
          </w:p>
        </w:tc>
      </w:tr>
    </w:tbl>
    <w:p>
      <w:pPr>
        <w:autoSpaceDE w:val="0"/>
        <w:autoSpaceDN w:val="0"/>
        <w:adjustRightInd w:val="0"/>
        <w:snapToGrid w:val="0"/>
        <w:rPr>
          <w:rFonts w:ascii="仿宋_GB2312" w:eastAsia="仿宋_GB2312"/>
          <w:b/>
          <w:sz w:val="32"/>
          <w:szCs w:val="32"/>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2" w:firstLineChars="200"/>
        <w:jc w:val="both"/>
        <w:textAlignment w:val="auto"/>
        <w:rPr>
          <w:rFonts w:hint="default" w:ascii="仿宋_GB2312" w:eastAsia="仿宋_GB2312"/>
          <w:b/>
          <w:bCs/>
          <w:sz w:val="28"/>
          <w:szCs w:val="28"/>
          <w:lang w:val="en-US" w:eastAsia="zh-CN"/>
        </w:rPr>
      </w:pPr>
      <w:r>
        <w:rPr>
          <w:rFonts w:hint="eastAsia" w:ascii="仿宋_GB2312" w:eastAsia="仿宋_GB2312"/>
          <w:b/>
          <w:bCs/>
          <w:sz w:val="28"/>
          <w:szCs w:val="28"/>
          <w:lang w:val="en-US" w:eastAsia="zh-CN"/>
        </w:rPr>
        <w:t>（一）项目基本概况</w:t>
      </w:r>
    </w:p>
    <w:p>
      <w:pPr>
        <w:keepNext w:val="0"/>
        <w:keepLines w:val="0"/>
        <w:pageBreakBefore w:val="0"/>
        <w:widowControl/>
        <w:numPr>
          <w:ilvl w:val="0"/>
          <w:numId w:val="0"/>
        </w:numPr>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本项目拟对</w:t>
      </w:r>
      <w:r>
        <w:rPr>
          <w:rFonts w:hint="eastAsia" w:ascii="仿宋_GB2312" w:hAnsi="Times New Roman" w:eastAsia="仿宋_GB2312" w:cs="Times New Roman"/>
          <w:kern w:val="2"/>
          <w:sz w:val="28"/>
          <w:szCs w:val="28"/>
          <w:lang w:val="zh-CN" w:eastAsia="zh-CN" w:bidi="ar-SA"/>
        </w:rPr>
        <w:t>钱塘科研创新中心</w:t>
      </w:r>
      <w:r>
        <w:rPr>
          <w:rFonts w:hint="eastAsia" w:ascii="仿宋_GB2312" w:eastAsia="仿宋_GB2312" w:cs="Times New Roman"/>
          <w:kern w:val="2"/>
          <w:sz w:val="28"/>
          <w:szCs w:val="28"/>
          <w:lang w:val="en-US" w:eastAsia="zh-CN" w:bidi="ar-SA"/>
        </w:rPr>
        <w:t>进行总体提升改造，</w:t>
      </w:r>
      <w:r>
        <w:rPr>
          <w:rFonts w:hint="eastAsia" w:ascii="仿宋" w:hAnsi="仿宋" w:eastAsia="仿宋" w:cs="仿宋"/>
          <w:color w:val="000000"/>
          <w:kern w:val="0"/>
          <w:sz w:val="28"/>
          <w:szCs w:val="28"/>
          <w:lang w:val="en-US" w:eastAsia="zh-CN" w:bidi="ar"/>
        </w:rPr>
        <w:t>项目总投资</w:t>
      </w:r>
      <w:r>
        <w:rPr>
          <w:rFonts w:hint="eastAsia" w:ascii="仿宋" w:hAnsi="仿宋" w:eastAsia="仿宋" w:cs="仿宋"/>
          <w:kern w:val="0"/>
          <w:sz w:val="28"/>
          <w:szCs w:val="28"/>
          <w:lang w:val="en-US" w:eastAsia="zh-CN"/>
        </w:rPr>
        <w:t>6000</w:t>
      </w:r>
      <w:r>
        <w:rPr>
          <w:rFonts w:hint="eastAsia" w:ascii="仿宋" w:hAnsi="仿宋" w:eastAsia="仿宋" w:cs="仿宋"/>
          <w:color w:val="000000"/>
          <w:kern w:val="0"/>
          <w:sz w:val="28"/>
          <w:szCs w:val="28"/>
          <w:lang w:val="en-US" w:eastAsia="zh-CN" w:bidi="ar"/>
        </w:rPr>
        <w:t>万元。项目主要内容如下：</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、室外综合整修改造，改造建筑面积约9000㎡；</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、建筑外立面改造修补，改造规模约10000㎡；</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、1号楼宿舍、食堂装饰提升改造，改造建筑面积约2000㎡；</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、2号楼1-2层提升改造，改造建筑面积约5000㎡；</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、3号楼制剂室提升改造，改造建筑面积约6400㎡；</w:t>
      </w:r>
    </w:p>
    <w:p>
      <w:pPr>
        <w:keepNext w:val="0"/>
        <w:keepLines w:val="0"/>
        <w:pageBreakBefore w:val="0"/>
        <w:widowControl/>
        <w:numPr>
          <w:ilvl w:val="0"/>
          <w:numId w:val="1"/>
        </w:numPr>
        <w:suppressLineNumbers w:val="0"/>
        <w:kinsoku/>
        <w:wordWrap/>
        <w:overflowPunct/>
        <w:topLinePunct w:val="0"/>
        <w:bidi w:val="0"/>
        <w:spacing w:line="600" w:lineRule="exact"/>
        <w:ind w:left="70" w:leftChars="0" w:firstLine="560" w:firstLineChars="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、地下室配电房扩容改造，改造建筑面积约300㎡。</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(二）服务范围及内容：</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rPr>
      </w:pPr>
      <w:r>
        <w:rPr>
          <w:rFonts w:hint="eastAsia" w:ascii="仿宋_GB2312" w:eastAsia="仿宋_GB2312"/>
          <w:sz w:val="28"/>
          <w:szCs w:val="28"/>
        </w:rPr>
        <w:t>编制</w:t>
      </w: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江大学医学院附属第一医院钱塘科研创新中心综合修缮工程</w:t>
      </w:r>
      <w:r>
        <w:rPr>
          <w:rFonts w:hint="eastAsia" w:ascii="仿宋_GB2312" w:eastAsia="仿宋_GB2312"/>
          <w:sz w:val="28"/>
          <w:szCs w:val="28"/>
        </w:rPr>
        <w:t>项目建议书及可行性研究报告</w:t>
      </w:r>
      <w:r>
        <w:rPr>
          <w:rFonts w:hint="eastAsia" w:ascii="仿宋_GB2312" w:eastAsia="仿宋_GB2312"/>
          <w:sz w:val="28"/>
          <w:szCs w:val="28"/>
          <w:lang w:eastAsia="zh-CN"/>
        </w:rPr>
        <w:t>，</w:t>
      </w:r>
      <w:r>
        <w:rPr>
          <w:rFonts w:hint="eastAsia" w:ascii="仿宋_GB2312" w:eastAsia="仿宋_GB2312"/>
          <w:sz w:val="28"/>
          <w:szCs w:val="28"/>
        </w:rPr>
        <w:t>主要内容包括：分析项目建设的背景和必要性，确定建设内容并测算工程规模，提出工程建筑方案与工程建设投资、资金来源方案，分析项目社会效益及潜在社会风险等。</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（四）服务质量要求：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zh-CN" w:eastAsia="zh-CN"/>
        </w:rPr>
        <w:t>符合相关国家及地方</w:t>
      </w:r>
      <w:r>
        <w:rPr>
          <w:rFonts w:hint="eastAsia" w:ascii="仿宋_GB2312" w:eastAsia="仿宋_GB2312"/>
          <w:sz w:val="28"/>
          <w:szCs w:val="28"/>
          <w:lang w:val="en-US" w:eastAsia="zh-CN"/>
        </w:rPr>
        <w:t>法律法规、</w:t>
      </w:r>
      <w:r>
        <w:rPr>
          <w:rFonts w:hint="eastAsia" w:ascii="仿宋_GB2312" w:eastAsia="仿宋_GB2312"/>
          <w:sz w:val="28"/>
          <w:szCs w:val="28"/>
          <w:lang w:val="zh-CN" w:eastAsia="zh-CN"/>
        </w:rPr>
        <w:t>技术规范及标准，</w:t>
      </w:r>
      <w:r>
        <w:rPr>
          <w:rFonts w:hint="eastAsia" w:ascii="仿宋_GB2312" w:eastAsia="仿宋_GB2312"/>
          <w:sz w:val="28"/>
          <w:szCs w:val="28"/>
        </w:rPr>
        <w:t>形成工程项目建议书及可行性研究报告</w:t>
      </w:r>
      <w:r>
        <w:rPr>
          <w:rFonts w:hint="eastAsia" w:ascii="仿宋_GB2312" w:eastAsia="仿宋_GB2312"/>
          <w:sz w:val="28"/>
          <w:szCs w:val="28"/>
          <w:lang w:eastAsia="zh-CN"/>
        </w:rPr>
        <w:t>文本，</w:t>
      </w:r>
      <w:r>
        <w:rPr>
          <w:rFonts w:hint="eastAsia" w:ascii="仿宋_GB2312" w:eastAsia="仿宋_GB2312"/>
          <w:sz w:val="28"/>
          <w:szCs w:val="28"/>
        </w:rPr>
        <w:t>内容和深度满足审批部门有关要求</w:t>
      </w:r>
      <w:r>
        <w:rPr>
          <w:rFonts w:hint="eastAsia" w:ascii="仿宋_GB2312" w:eastAsia="仿宋_GB2312"/>
          <w:sz w:val="28"/>
          <w:szCs w:val="28"/>
          <w:lang w:val="zh-CN"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（五）服务期</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服务</w:t>
      </w:r>
      <w:r>
        <w:rPr>
          <w:rFonts w:hint="eastAsia" w:ascii="仿宋_GB2312" w:eastAsia="仿宋_GB2312"/>
          <w:sz w:val="28"/>
          <w:szCs w:val="28"/>
          <w:lang w:val="zh-CN" w:eastAsia="zh-CN"/>
        </w:rPr>
        <w:t>期为合同签订后至</w:t>
      </w:r>
      <w:r>
        <w:rPr>
          <w:rFonts w:hint="eastAsia" w:ascii="仿宋_GB2312" w:eastAsia="仿宋_GB2312"/>
          <w:sz w:val="28"/>
          <w:szCs w:val="28"/>
        </w:rPr>
        <w:t>项目建议书及可行性研究报告</w:t>
      </w:r>
      <w:r>
        <w:rPr>
          <w:rFonts w:hint="eastAsia" w:ascii="仿宋_GB2312" w:eastAsia="仿宋_GB2312"/>
          <w:sz w:val="28"/>
          <w:szCs w:val="28"/>
          <w:lang w:val="en-US" w:eastAsia="zh-CN"/>
        </w:rPr>
        <w:t>所有工作内容完成之日</w:t>
      </w:r>
      <w:r>
        <w:rPr>
          <w:rFonts w:hint="eastAsia" w:ascii="仿宋_GB2312" w:eastAsia="仿宋_GB2312"/>
          <w:sz w:val="28"/>
          <w:szCs w:val="28"/>
          <w:lang w:val="zh-CN" w:eastAsia="zh-CN"/>
        </w:rPr>
        <w:t>止，</w:t>
      </w:r>
      <w:r>
        <w:rPr>
          <w:rFonts w:hint="eastAsia" w:ascii="仿宋_GB2312" w:eastAsia="仿宋_GB2312"/>
          <w:sz w:val="28"/>
          <w:szCs w:val="28"/>
          <w:lang w:val="en-US" w:eastAsia="zh-CN"/>
        </w:rPr>
        <w:t>具体的时间节点需满足项目的总体进度计划和医院的具体要求。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（六）报价要求</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1、本项目的报价上限为</w:t>
      </w:r>
      <w:r>
        <w:rPr>
          <w:rFonts w:hint="eastAsia" w:ascii="仿宋_GB2312" w:eastAsia="仿宋_GB2312"/>
          <w:sz w:val="28"/>
          <w:szCs w:val="28"/>
          <w:highlight w:val="none"/>
          <w:lang w:val="en-US" w:eastAsia="zh-CN"/>
        </w:rPr>
        <w:t>12.75</w:t>
      </w:r>
      <w:r>
        <w:rPr>
          <w:rFonts w:hint="eastAsia" w:ascii="仿宋" w:hAnsi="仿宋" w:eastAsia="仿宋" w:cs="仿宋"/>
          <w:color w:val="000000"/>
          <w:kern w:val="0"/>
          <w:sz w:val="28"/>
          <w:szCs w:val="28"/>
          <w:highlight w:val="none"/>
          <w:lang w:val="en-US" w:eastAsia="zh-CN" w:bidi="ar"/>
        </w:rPr>
        <w:t>万元，超过</w:t>
      </w:r>
      <w:r>
        <w:rPr>
          <w:rFonts w:hint="eastAsia" w:ascii="仿宋_GB2312" w:eastAsia="仿宋_GB2312"/>
          <w:sz w:val="28"/>
          <w:szCs w:val="28"/>
          <w:highlight w:val="none"/>
          <w:lang w:val="en-US" w:eastAsia="zh-CN"/>
        </w:rPr>
        <w:t>12.75</w:t>
      </w:r>
      <w:r>
        <w:rPr>
          <w:rFonts w:hint="eastAsia" w:ascii="仿宋" w:hAnsi="仿宋" w:eastAsia="仿宋" w:cs="仿宋"/>
          <w:color w:val="000000"/>
          <w:kern w:val="0"/>
          <w:sz w:val="28"/>
          <w:szCs w:val="28"/>
          <w:highlight w:val="none"/>
          <w:lang w:val="en-US" w:eastAsia="zh-CN" w:bidi="ar"/>
        </w:rPr>
        <w:t>万元</w:t>
      </w:r>
      <w:r>
        <w:rPr>
          <w:rFonts w:hint="eastAsia" w:ascii="仿宋" w:hAnsi="仿宋" w:eastAsia="仿宋" w:cs="仿宋"/>
          <w:color w:val="000000"/>
          <w:kern w:val="0"/>
          <w:sz w:val="28"/>
          <w:szCs w:val="28"/>
          <w:lang w:val="en-US" w:eastAsia="zh-CN" w:bidi="ar"/>
        </w:rPr>
        <w:t>的报价将被拒绝。</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val="zh-CN" w:eastAsia="zh-CN" w:bidi="ar"/>
        </w:rPr>
        <w:t>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28"/>
          <w:szCs w:val="28"/>
          <w:lang w:bidi="ar"/>
        </w:rPr>
        <w:t>确定报价，本项目实施总价包干，上述总价不受服务期的延长、项目规模及投资金额变化而调整。</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default" w:ascii="仿宋_GB2312" w:eastAsia="仿宋_GB2312"/>
          <w:sz w:val="28"/>
          <w:szCs w:val="28"/>
          <w:lang w:val="en-US" w:eastAsia="zh-CN"/>
        </w:rPr>
      </w:pPr>
      <w:r>
        <w:rPr>
          <w:rFonts w:hint="eastAsia" w:ascii="仿宋_GB2312" w:eastAsia="仿宋_GB2312"/>
          <w:b/>
          <w:bCs/>
          <w:sz w:val="28"/>
          <w:szCs w:val="28"/>
          <w:lang w:val="en-US" w:eastAsia="zh-CN"/>
        </w:rPr>
        <w:t>（七）款项支付：</w:t>
      </w:r>
      <w:r>
        <w:rPr>
          <w:rFonts w:hint="eastAsia" w:ascii="仿宋_GB2312" w:eastAsia="仿宋_GB2312"/>
          <w:sz w:val="28"/>
          <w:szCs w:val="28"/>
          <w:lang w:val="en-US" w:eastAsia="zh-CN"/>
        </w:rPr>
        <w:t>（具体以合同签订时约定为准）</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1、项目建议书编制完成并批复后，在递交请款申请后三十日内支付合同总金额的30%；</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sz w:val="28"/>
          <w:szCs w:val="28"/>
        </w:rPr>
      </w:pPr>
      <w:r>
        <w:rPr>
          <w:rFonts w:hint="eastAsia" w:ascii="仿宋" w:hAnsi="仿宋" w:eastAsia="仿宋" w:cs="仿宋"/>
          <w:color w:val="000000"/>
          <w:kern w:val="0"/>
          <w:sz w:val="28"/>
          <w:szCs w:val="28"/>
          <w:lang w:val="en-US" w:eastAsia="zh-CN" w:bidi="ar"/>
        </w:rPr>
        <w:t>2、可行性研究报告编制完成并批复后，在递交请款申请后三十日内支付合同总金额的70%。</w:t>
      </w:r>
    </w:p>
    <w:p>
      <w:pPr>
        <w:keepNext w:val="0"/>
        <w:keepLines w:val="0"/>
        <w:pageBreakBefore w:val="0"/>
        <w:kinsoku/>
        <w:wordWrap/>
        <w:overflowPunct/>
        <w:topLinePunct w:val="0"/>
        <w:autoSpaceDE w:val="0"/>
        <w:autoSpaceDN w:val="0"/>
        <w:bidi w:val="0"/>
        <w:adjustRightInd w:val="0"/>
        <w:snapToGrid w:val="0"/>
        <w:spacing w:line="600" w:lineRule="exact"/>
        <w:ind w:firstLine="420" w:firstLineChars="200"/>
        <w:textAlignment w:val="auto"/>
        <w:rPr>
          <w:rFonts w:hint="eastAsia"/>
        </w:rPr>
      </w:pPr>
    </w:p>
    <w:p>
      <w:pPr>
        <w:pStyle w:val="2"/>
        <w:rPr>
          <w:rFonts w:hint="eastAsia"/>
        </w:rPr>
      </w:pPr>
    </w:p>
    <w:p>
      <w:pPr>
        <w:pStyle w:val="2"/>
        <w:rPr>
          <w:rFonts w:hint="eastAsia"/>
        </w:rPr>
      </w:pPr>
    </w:p>
    <w:p>
      <w:pPr>
        <w:keepNext w:val="0"/>
        <w:keepLines w:val="0"/>
        <w:pageBreakBefore w:val="0"/>
        <w:kinsoku/>
        <w:wordWrap/>
        <w:overflowPunct/>
        <w:topLinePunct w:val="0"/>
        <w:autoSpaceDE w:val="0"/>
        <w:autoSpaceDN w:val="0"/>
        <w:bidi w:val="0"/>
        <w:adjustRightInd w:val="0"/>
        <w:snapToGrid w:val="0"/>
        <w:spacing w:line="600" w:lineRule="exact"/>
        <w:textAlignment w:val="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color w:val="FF0000"/>
          <w:sz w:val="32"/>
          <w:szCs w:val="32"/>
        </w:rPr>
      </w:pPr>
      <w:r>
        <w:rPr>
          <w:rFonts w:hint="eastAsia" w:ascii="仿宋_GB2312" w:eastAsia="仿宋_GB2312"/>
          <w:color w:val="FF0000"/>
          <w:sz w:val="32"/>
          <w:szCs w:val="32"/>
        </w:rPr>
        <w:t>1、询价时间：202</w:t>
      </w:r>
      <w:r>
        <w:rPr>
          <w:rFonts w:hint="eastAsia" w:ascii="仿宋_GB2312" w:eastAsia="仿宋_GB2312"/>
          <w:color w:val="FF0000"/>
          <w:sz w:val="32"/>
          <w:szCs w:val="32"/>
          <w:lang w:val="en-US" w:eastAsia="zh-CN"/>
        </w:rPr>
        <w:t>4</w:t>
      </w:r>
      <w:r>
        <w:rPr>
          <w:rFonts w:hint="eastAsia" w:ascii="仿宋_GB2312" w:eastAsia="仿宋_GB2312"/>
          <w:color w:val="FF0000"/>
          <w:sz w:val="32"/>
          <w:szCs w:val="32"/>
        </w:rPr>
        <w:t>年</w:t>
      </w:r>
      <w:r>
        <w:rPr>
          <w:rFonts w:hint="eastAsia" w:ascii="仿宋_GB2312" w:eastAsia="仿宋_GB2312"/>
          <w:color w:val="FF0000"/>
          <w:sz w:val="32"/>
          <w:szCs w:val="32"/>
          <w:lang w:val="en-US" w:eastAsia="zh-CN"/>
        </w:rPr>
        <w:t>4</w:t>
      </w:r>
      <w:r>
        <w:rPr>
          <w:rFonts w:hint="eastAsia" w:ascii="仿宋_GB2312" w:eastAsia="仿宋_GB2312"/>
          <w:color w:val="FF0000"/>
          <w:sz w:val="32"/>
          <w:szCs w:val="32"/>
        </w:rPr>
        <w:t>月</w:t>
      </w:r>
      <w:r>
        <w:rPr>
          <w:rFonts w:hint="eastAsia" w:ascii="仿宋_GB2312" w:eastAsia="仿宋_GB2312"/>
          <w:color w:val="FF0000"/>
          <w:sz w:val="32"/>
          <w:szCs w:val="32"/>
          <w:lang w:val="en-US" w:eastAsia="zh-CN"/>
        </w:rPr>
        <w:t>19</w:t>
      </w:r>
      <w:r>
        <w:rPr>
          <w:rFonts w:hint="eastAsia" w:ascii="仿宋_GB2312" w:eastAsia="仿宋_GB2312"/>
          <w:color w:val="FF0000"/>
          <w:sz w:val="32"/>
          <w:szCs w:val="32"/>
        </w:rPr>
        <w:t>日1</w:t>
      </w:r>
      <w:r>
        <w:rPr>
          <w:rFonts w:hint="eastAsia" w:ascii="仿宋_GB2312" w:eastAsia="仿宋_GB2312"/>
          <w:color w:val="FF0000"/>
          <w:sz w:val="32"/>
          <w:szCs w:val="32"/>
          <w:lang w:val="en-US" w:eastAsia="zh-CN"/>
        </w:rPr>
        <w:t>3</w:t>
      </w:r>
      <w:r>
        <w:rPr>
          <w:rFonts w:hint="eastAsia" w:ascii="仿宋_GB2312" w:eastAsia="仿宋_GB2312"/>
          <w:color w:val="FF0000"/>
          <w:sz w:val="32"/>
          <w:szCs w:val="32"/>
        </w:rPr>
        <w:t>:</w:t>
      </w:r>
      <w:r>
        <w:rPr>
          <w:rFonts w:hint="eastAsia" w:ascii="仿宋_GB2312" w:eastAsia="仿宋_GB2312"/>
          <w:color w:val="FF0000"/>
          <w:sz w:val="32"/>
          <w:szCs w:val="32"/>
          <w:lang w:val="en-US" w:eastAsia="zh-CN"/>
        </w:rPr>
        <w:t>30</w:t>
      </w:r>
      <w:r>
        <w:rPr>
          <w:rFonts w:hint="eastAsia" w:ascii="仿宋_GB2312" w:eastAsia="仿宋_GB2312"/>
          <w:color w:val="FF0000"/>
          <w:sz w:val="32"/>
          <w:szCs w:val="32"/>
        </w:rPr>
        <w:t>（请于</w:t>
      </w:r>
      <w:r>
        <w:rPr>
          <w:rFonts w:hint="eastAsia" w:ascii="仿宋_GB2312" w:eastAsia="仿宋_GB2312"/>
          <w:color w:val="FF0000"/>
          <w:sz w:val="32"/>
          <w:szCs w:val="32"/>
          <w:highlight w:val="yellow"/>
        </w:rPr>
        <w:t>13:</w:t>
      </w:r>
      <w:r>
        <w:rPr>
          <w:rFonts w:hint="eastAsia" w:ascii="仿宋_GB2312" w:eastAsia="仿宋_GB2312"/>
          <w:color w:val="FF0000"/>
          <w:sz w:val="32"/>
          <w:szCs w:val="32"/>
          <w:highlight w:val="yellow"/>
          <w:lang w:val="en-US" w:eastAsia="zh-CN"/>
        </w:rPr>
        <w:t>0</w:t>
      </w:r>
      <w:r>
        <w:rPr>
          <w:rFonts w:hint="eastAsia" w:ascii="仿宋_GB2312" w:eastAsia="仿宋_GB2312"/>
          <w:color w:val="FF0000"/>
          <w:sz w:val="32"/>
          <w:szCs w:val="32"/>
          <w:highlight w:val="yellow"/>
        </w:rPr>
        <w:t>0</w:t>
      </w:r>
      <w:r>
        <w:rPr>
          <w:rFonts w:hint="eastAsia" w:ascii="仿宋_GB2312" w:eastAsia="仿宋_GB2312"/>
          <w:color w:val="FF0000"/>
          <w:sz w:val="32"/>
          <w:szCs w:val="32"/>
        </w:rPr>
        <w:t xml:space="preserve">提前到场签到）     </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hint="eastAsia" w:ascii="仿宋_GB2312" w:eastAsia="仿宋_GB2312"/>
          <w:color w:val="FF0000"/>
          <w:sz w:val="32"/>
          <w:szCs w:val="32"/>
          <w:lang w:eastAsia="zh-CN"/>
        </w:rPr>
      </w:pPr>
      <w:r>
        <w:rPr>
          <w:rFonts w:hint="eastAsia" w:ascii="仿宋_GB2312" w:eastAsia="仿宋_GB2312"/>
          <w:color w:val="FF0000"/>
          <w:sz w:val="32"/>
          <w:szCs w:val="32"/>
        </w:rPr>
        <w:t>2、询价地址：</w:t>
      </w:r>
      <w:r>
        <w:rPr>
          <w:rFonts w:hint="eastAsia" w:ascii="仿宋_GB2312" w:eastAsia="仿宋_GB2312"/>
          <w:color w:val="FF0000"/>
          <w:sz w:val="32"/>
          <w:szCs w:val="32"/>
          <w:lang w:val="en-US" w:eastAsia="zh-CN"/>
        </w:rPr>
        <w:t>杭州市</w:t>
      </w:r>
      <w:r>
        <w:rPr>
          <w:rFonts w:hint="eastAsia" w:ascii="仿宋_GB2312" w:eastAsia="仿宋_GB2312"/>
          <w:color w:val="FF0000"/>
          <w:sz w:val="32"/>
          <w:szCs w:val="32"/>
        </w:rPr>
        <w:t>庆春路79号浙大一院</w:t>
      </w:r>
      <w:r>
        <w:rPr>
          <w:rFonts w:ascii="仿宋_GB2312" w:eastAsia="仿宋_GB2312"/>
          <w:color w:val="FF0000"/>
          <w:sz w:val="32"/>
          <w:szCs w:val="32"/>
        </w:rPr>
        <w:t>17</w:t>
      </w:r>
      <w:r>
        <w:rPr>
          <w:rFonts w:hint="eastAsia" w:ascii="仿宋_GB2312" w:eastAsia="仿宋_GB2312"/>
          <w:color w:val="FF0000"/>
          <w:sz w:val="32"/>
          <w:szCs w:val="32"/>
        </w:rPr>
        <w:t>号楼</w:t>
      </w:r>
      <w:r>
        <w:rPr>
          <w:rFonts w:ascii="仿宋_GB2312" w:eastAsia="仿宋_GB2312"/>
          <w:color w:val="FF0000"/>
          <w:sz w:val="32"/>
          <w:szCs w:val="32"/>
        </w:rPr>
        <w:t>2</w:t>
      </w:r>
      <w:r>
        <w:rPr>
          <w:rFonts w:hint="eastAsia" w:ascii="仿宋_GB2312" w:eastAsia="仿宋_GB2312"/>
          <w:color w:val="FF0000"/>
          <w:sz w:val="32"/>
          <w:szCs w:val="32"/>
        </w:rPr>
        <w:t>楼</w:t>
      </w:r>
      <w:r>
        <w:rPr>
          <w:rFonts w:hint="eastAsia" w:ascii="仿宋_GB2312" w:eastAsia="仿宋_GB2312"/>
          <w:color w:val="FF0000"/>
          <w:sz w:val="32"/>
          <w:szCs w:val="32"/>
          <w:lang w:val="en-US" w:eastAsia="zh-CN"/>
        </w:rPr>
        <w:t>钱塘厅</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0571-8723699</w:t>
      </w:r>
      <w:r>
        <w:rPr>
          <w:rFonts w:ascii="仿宋_GB2312" w:eastAsia="仿宋_GB2312"/>
          <w:sz w:val="32"/>
          <w:szCs w:val="32"/>
        </w:rPr>
        <w:t>8</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eastAsia="zh-CN"/>
        </w:rPr>
        <w:t>法律</w:t>
      </w:r>
      <w:r>
        <w:rPr>
          <w:rFonts w:hint="eastAsia" w:ascii="仿宋_GB2312" w:hAnsi="宋体" w:eastAsia="仿宋_GB2312"/>
          <w:sz w:val="32"/>
          <w:szCs w:val="32"/>
        </w:rPr>
        <w:t>法规及</w:t>
      </w:r>
      <w:r>
        <w:rPr>
          <w:rFonts w:hint="eastAsia" w:ascii="仿宋_GB2312" w:hAnsi="宋体" w:eastAsia="仿宋_GB2312"/>
          <w:sz w:val="32"/>
          <w:szCs w:val="32"/>
          <w:lang w:val="en-US" w:eastAsia="zh-CN"/>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，对</w:t>
      </w:r>
      <w:r>
        <w:rPr>
          <w:rFonts w:hint="eastAsia" w:ascii="仿宋_GB2312" w:hAnsi="宋体" w:eastAsia="仿宋_GB2312"/>
          <w:sz w:val="32"/>
          <w:szCs w:val="32"/>
          <w:lang w:val="en-US" w:eastAsia="zh-CN"/>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pPr>
              <w:widowControl/>
              <w:jc w:val="left"/>
              <w:rPr>
                <w:rFonts w:hint="eastAsia"/>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费 用 名 称</w:t>
            </w:r>
          </w:p>
        </w:tc>
        <w:tc>
          <w:tcPr>
            <w:tcW w:w="796"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单位</w:t>
            </w:r>
          </w:p>
        </w:tc>
        <w:tc>
          <w:tcPr>
            <w:tcW w:w="1920"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计 算 依 据</w:t>
            </w:r>
          </w:p>
        </w:tc>
        <w:tc>
          <w:tcPr>
            <w:tcW w:w="1390" w:type="dxa"/>
            <w:tcBorders>
              <w:top w:val="single" w:color="auto" w:sz="12" w:space="0"/>
              <w:bottom w:val="single" w:color="auto" w:sz="12" w:space="0"/>
            </w:tcBorders>
            <w:noWrap w:val="0"/>
            <w:vAlign w:val="center"/>
          </w:tcPr>
          <w:p>
            <w:pPr>
              <w:spacing w:line="360" w:lineRule="auto"/>
              <w:rPr>
                <w:rFonts w:hint="eastAsia"/>
                <w:sz w:val="24"/>
              </w:rPr>
            </w:pPr>
            <w:r>
              <w:rPr>
                <w:rFonts w:hint="eastAsia"/>
                <w:sz w:val="24"/>
              </w:rPr>
              <w:t>单  价</w:t>
            </w:r>
          </w:p>
          <w:p>
            <w:pPr>
              <w:spacing w:line="360" w:lineRule="auto"/>
              <w:rPr>
                <w:rFonts w:hint="eastAsia"/>
                <w:sz w:val="24"/>
              </w:rPr>
            </w:pPr>
            <w:r>
              <w:rPr>
                <w:rFonts w:hint="eastAsia"/>
                <w:sz w:val="24"/>
              </w:rPr>
              <w:t>（元）</w:t>
            </w:r>
          </w:p>
        </w:tc>
        <w:tc>
          <w:tcPr>
            <w:tcW w:w="1091"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数 量</w:t>
            </w:r>
          </w:p>
        </w:tc>
        <w:tc>
          <w:tcPr>
            <w:tcW w:w="1392" w:type="dxa"/>
            <w:tcBorders>
              <w:top w:val="single" w:color="auto" w:sz="12" w:space="0"/>
              <w:bottom w:val="single" w:color="auto" w:sz="12" w:space="0"/>
              <w:right w:val="single" w:color="auto" w:sz="12" w:space="0"/>
            </w:tcBorders>
            <w:noWrap w:val="0"/>
            <w:vAlign w:val="center"/>
          </w:tcPr>
          <w:p>
            <w:pPr>
              <w:spacing w:line="360" w:lineRule="auto"/>
              <w:jc w:val="center"/>
              <w:rPr>
                <w:rFonts w:hint="eastAsia"/>
                <w:sz w:val="24"/>
              </w:rPr>
            </w:pPr>
            <w:r>
              <w:rPr>
                <w:rFonts w:hint="eastAsia"/>
                <w:sz w:val="24"/>
              </w:rPr>
              <w:t>合  价</w:t>
            </w:r>
          </w:p>
          <w:p>
            <w:pPr>
              <w:spacing w:line="360" w:lineRule="auto"/>
              <w:jc w:val="center"/>
              <w:rPr>
                <w:rFonts w:hint="eastAsia"/>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pPr>
              <w:spacing w:line="360" w:lineRule="auto"/>
              <w:jc w:val="left"/>
              <w:rPr>
                <w:rFonts w:hint="eastAsia"/>
                <w:sz w:val="24"/>
              </w:rPr>
            </w:pPr>
            <w:r>
              <w:rPr>
                <w:rFonts w:hint="eastAsia"/>
                <w:sz w:val="24"/>
              </w:rPr>
              <w:t>1</w:t>
            </w:r>
          </w:p>
        </w:tc>
        <w:tc>
          <w:tcPr>
            <w:tcW w:w="1653" w:type="dxa"/>
            <w:tcBorders>
              <w:top w:val="single" w:color="auto" w:sz="12" w:space="0"/>
            </w:tcBorders>
            <w:noWrap w:val="0"/>
            <w:vAlign w:val="center"/>
          </w:tcPr>
          <w:p>
            <w:pPr>
              <w:spacing w:line="360" w:lineRule="auto"/>
              <w:jc w:val="left"/>
              <w:rPr>
                <w:rFonts w:hint="eastAsia"/>
                <w:sz w:val="24"/>
              </w:rPr>
            </w:pPr>
          </w:p>
        </w:tc>
        <w:tc>
          <w:tcPr>
            <w:tcW w:w="796" w:type="dxa"/>
            <w:tcBorders>
              <w:top w:val="single" w:color="auto" w:sz="12" w:space="0"/>
            </w:tcBorders>
            <w:noWrap w:val="0"/>
            <w:vAlign w:val="center"/>
          </w:tcPr>
          <w:p>
            <w:pPr>
              <w:spacing w:line="360" w:lineRule="auto"/>
              <w:jc w:val="left"/>
              <w:rPr>
                <w:rFonts w:hint="eastAsia"/>
                <w:sz w:val="24"/>
              </w:rPr>
            </w:pPr>
          </w:p>
        </w:tc>
        <w:tc>
          <w:tcPr>
            <w:tcW w:w="1920" w:type="dxa"/>
            <w:tcBorders>
              <w:top w:val="single" w:color="auto" w:sz="12" w:space="0"/>
            </w:tcBorders>
            <w:noWrap w:val="0"/>
            <w:vAlign w:val="center"/>
          </w:tcPr>
          <w:p>
            <w:pPr>
              <w:spacing w:line="360" w:lineRule="auto"/>
              <w:jc w:val="left"/>
              <w:rPr>
                <w:rFonts w:hint="eastAsia"/>
                <w:sz w:val="24"/>
              </w:rPr>
            </w:pPr>
          </w:p>
        </w:tc>
        <w:tc>
          <w:tcPr>
            <w:tcW w:w="1390" w:type="dxa"/>
            <w:tcBorders>
              <w:top w:val="single" w:color="auto" w:sz="12" w:space="0"/>
            </w:tcBorders>
            <w:noWrap w:val="0"/>
            <w:vAlign w:val="center"/>
          </w:tcPr>
          <w:p>
            <w:pPr>
              <w:spacing w:line="360" w:lineRule="auto"/>
              <w:jc w:val="left"/>
              <w:rPr>
                <w:rFonts w:hint="eastAsia"/>
                <w:sz w:val="24"/>
              </w:rPr>
            </w:pPr>
          </w:p>
        </w:tc>
        <w:tc>
          <w:tcPr>
            <w:tcW w:w="1091" w:type="dxa"/>
            <w:tcBorders>
              <w:top w:val="single" w:color="auto" w:sz="12" w:space="0"/>
            </w:tcBorders>
            <w:noWrap w:val="0"/>
            <w:vAlign w:val="center"/>
          </w:tcPr>
          <w:p>
            <w:pPr>
              <w:spacing w:line="360" w:lineRule="auto"/>
              <w:jc w:val="left"/>
              <w:rPr>
                <w:rFonts w:hint="eastAsia"/>
                <w:sz w:val="24"/>
              </w:rPr>
            </w:pPr>
          </w:p>
        </w:tc>
        <w:tc>
          <w:tcPr>
            <w:tcW w:w="1392" w:type="dxa"/>
            <w:tcBorders>
              <w:top w:val="single" w:color="auto" w:sz="12" w:space="0"/>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2</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3</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4</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5</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6</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noWrap w:val="0"/>
            <w:vAlign w:val="center"/>
          </w:tcPr>
          <w:p>
            <w:pPr>
              <w:spacing w:line="360" w:lineRule="auto"/>
              <w:jc w:val="center"/>
              <w:rPr>
                <w:rFonts w:hint="eastAsia"/>
                <w:sz w:val="24"/>
              </w:rPr>
            </w:pPr>
            <w:r>
              <w:rPr>
                <w:rFonts w:hint="eastAsia"/>
                <w:sz w:val="24"/>
              </w:rPr>
              <w:t>小计</w:t>
            </w:r>
          </w:p>
        </w:tc>
        <w:tc>
          <w:tcPr>
            <w:tcW w:w="5793" w:type="dxa"/>
            <w:gridSpan w:val="4"/>
            <w:tcBorders>
              <w:left w:val="single" w:color="auto" w:sz="4" w:space="0"/>
              <w:right w:val="single" w:color="auto" w:sz="12" w:space="0"/>
            </w:tcBorders>
            <w:noWrap w:val="0"/>
            <w:vAlign w:val="center"/>
          </w:tcPr>
          <w:p>
            <w:pPr>
              <w:spacing w:line="360" w:lineRule="auto"/>
              <w:jc w:val="left"/>
              <w:rPr>
                <w:rFonts w:hint="eastAsia"/>
                <w:sz w:val="24"/>
              </w:rPr>
            </w:pPr>
            <w:r>
              <w:rPr>
                <w:rFonts w:hint="eastAsia"/>
                <w:sz w:val="24"/>
              </w:rPr>
              <w:t xml:space="preserve">                                      万元</w:t>
            </w:r>
          </w:p>
        </w:tc>
      </w:tr>
    </w:tbl>
    <w:p>
      <w:pPr>
        <w:spacing w:line="360" w:lineRule="auto"/>
        <w:jc w:val="left"/>
        <w:rPr>
          <w:rFonts w:hint="eastAsia"/>
          <w:sz w:val="24"/>
        </w:rPr>
      </w:pPr>
      <w:r>
        <w:rPr>
          <w:rFonts w:hint="eastAsia"/>
          <w:sz w:val="24"/>
        </w:rPr>
        <w:t xml:space="preserve">  </w:t>
      </w:r>
      <w:r>
        <w:rPr>
          <w:rFonts w:hint="eastAsia"/>
          <w:sz w:val="24"/>
          <w:lang w:val="en-US" w:eastAsia="zh-CN"/>
        </w:rPr>
        <w:t>供应商</w:t>
      </w:r>
      <w:r>
        <w:rPr>
          <w:rFonts w:hint="eastAsia"/>
          <w:sz w:val="24"/>
        </w:rPr>
        <w:t>（盖章）：            法定代表或授权代表（签字或盖章）：</w:t>
      </w:r>
    </w:p>
    <w:p>
      <w:pPr>
        <w:widowControl/>
        <w:jc w:val="left"/>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w:t>
      </w:r>
      <w:r>
        <w:rPr>
          <w:rFonts w:hint="eastAsia" w:ascii="仿宋_GB2312" w:eastAsia="仿宋_GB2312"/>
          <w:sz w:val="32"/>
          <w:szCs w:val="32"/>
          <w:lang w:val="en-US" w:eastAsia="zh-CN"/>
        </w:rPr>
        <w:t>询价响应</w:t>
      </w:r>
      <w:r>
        <w:rPr>
          <w:rFonts w:hint="eastAsia" w:ascii="仿宋_GB2312" w:eastAsia="仿宋_GB2312"/>
          <w:sz w:val="32"/>
          <w:szCs w:val="32"/>
        </w:rPr>
        <w:t>活动，并代表我方全权办理针对上述项目的</w:t>
      </w:r>
      <w:r>
        <w:rPr>
          <w:rFonts w:hint="eastAsia" w:ascii="仿宋_GB2312" w:eastAsia="仿宋_GB2312"/>
          <w:sz w:val="32"/>
          <w:szCs w:val="32"/>
          <w:lang w:val="en-US" w:eastAsia="zh-CN"/>
        </w:rPr>
        <w:t>响应</w:t>
      </w:r>
      <w:r>
        <w:rPr>
          <w:rFonts w:hint="eastAsia" w:ascii="仿宋_GB2312" w:eastAsia="仿宋_GB2312"/>
          <w:sz w:val="32"/>
          <w:szCs w:val="32"/>
        </w:rPr>
        <w:t>、开标、评标、</w:t>
      </w:r>
      <w:r>
        <w:rPr>
          <w:rFonts w:hint="eastAsia" w:ascii="仿宋_GB2312" w:eastAsia="仿宋_GB2312"/>
          <w:sz w:val="32"/>
          <w:szCs w:val="32"/>
          <w:lang w:val="en-US" w:eastAsia="zh-CN"/>
        </w:rPr>
        <w:t>二次报价</w:t>
      </w:r>
      <w:r>
        <w:rPr>
          <w:rFonts w:hint="eastAsia" w:ascii="仿宋_GB2312" w:eastAsia="仿宋_GB2312"/>
          <w:sz w:val="32"/>
          <w:szCs w:val="32"/>
          <w:lang w:eastAsia="zh-CN"/>
        </w:rPr>
        <w:t>、</w:t>
      </w:r>
      <w:r>
        <w:rPr>
          <w:rFonts w:hint="eastAsia" w:ascii="仿宋_GB2312" w:eastAsia="仿宋_GB2312"/>
          <w:sz w:val="32"/>
          <w:szCs w:val="32"/>
        </w:rPr>
        <w:t>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hint="eastAsia" w:ascii="仿宋_GB2312" w:eastAsia="仿宋_GB2312"/>
          <w:b/>
          <w:sz w:val="32"/>
          <w:szCs w:val="32"/>
        </w:rPr>
      </w:pPr>
      <w:r>
        <w:rPr>
          <w:rFonts w:hint="eastAsia" w:ascii="仿宋_GB2312" w:eastAsia="仿宋_GB2312"/>
          <w:b/>
          <w:sz w:val="32"/>
          <w:szCs w:val="32"/>
        </w:rPr>
        <w:t>二次报价函</w:t>
      </w:r>
    </w:p>
    <w:p>
      <w:pPr>
        <w:pStyle w:val="2"/>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项目名称：</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r>
        <w:rPr>
          <w:rFonts w:hint="eastAsia" w:ascii="仿宋_GB2312" w:eastAsia="仿宋_GB2312"/>
          <w:b/>
          <w:sz w:val="32"/>
          <w:szCs w:val="32"/>
        </w:rPr>
        <w:t>：</w:t>
      </w:r>
    </w:p>
    <w:p>
      <w:pPr>
        <w:autoSpaceDE w:val="0"/>
        <w:autoSpaceDN w:val="0"/>
        <w:adjustRightInd w:val="0"/>
        <w:snapToGrid w:val="0"/>
        <w:spacing w:line="360" w:lineRule="auto"/>
        <w:jc w:val="center"/>
        <w:rPr>
          <w:rFonts w:hint="eastAsia" w:ascii="仿宋_GB2312" w:eastAsia="仿宋_GB2312"/>
          <w:b/>
          <w:sz w:val="32"/>
          <w:szCs w:val="32"/>
          <w:lang w:val="en-US" w:eastAsia="zh-CN"/>
        </w:rPr>
      </w:pPr>
      <w:r>
        <w:rPr>
          <w:rFonts w:hint="eastAsia" w:ascii="仿宋_GB2312" w:eastAsia="仿宋_GB2312"/>
          <w:b/>
          <w:sz w:val="32"/>
          <w:szCs w:val="32"/>
          <w:lang w:val="en-US" w:eastAsia="zh-CN"/>
        </w:rPr>
        <w:t>其他资料</w:t>
      </w:r>
    </w:p>
    <w:p>
      <w:pPr>
        <w:autoSpaceDE w:val="0"/>
        <w:autoSpaceDN w:val="0"/>
        <w:adjustRightInd w:val="0"/>
        <w:snapToGrid w:val="0"/>
        <w:spacing w:line="360" w:lineRule="auto"/>
        <w:jc w:val="center"/>
        <w:rPr>
          <w:rFonts w:hint="default" w:ascii="仿宋_GB2312" w:eastAsia="仿宋_GB2312"/>
          <w:b/>
          <w:sz w:val="32"/>
          <w:szCs w:val="32"/>
          <w:lang w:val="en-US" w:eastAsia="zh-CN"/>
        </w:rPr>
      </w:pPr>
      <w:r>
        <w:rPr>
          <w:rFonts w:hint="eastAsia" w:ascii="仿宋_GB2312" w:eastAsia="仿宋_GB2312"/>
          <w:b/>
          <w:sz w:val="32"/>
          <w:szCs w:val="32"/>
          <w:lang w:val="en-US" w:eastAsia="zh-CN"/>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959521"/>
    <w:multiLevelType w:val="singleLevel"/>
    <w:tmpl w:val="ED959521"/>
    <w:lvl w:ilvl="0" w:tentative="0">
      <w:start w:val="1"/>
      <w:numFmt w:val="decimal"/>
      <w:suff w:val="nothing"/>
      <w:lvlText w:val="%1）"/>
      <w:lvlJc w:val="left"/>
      <w:pPr>
        <w:ind w:left="7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E5MTY4YmNiMTFkNDkzZjlkOGNkNjc4YjNhOGFjMzAifQ=="/>
    <w:docVar w:name="KSO_WPS_MARK_KEY" w:val="49cf2e1b-1cd7-448a-b4e7-1fbbdb997f62"/>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70C69B8"/>
    <w:rsid w:val="094931B5"/>
    <w:rsid w:val="0C5B233E"/>
    <w:rsid w:val="0D3A1F53"/>
    <w:rsid w:val="11397140"/>
    <w:rsid w:val="116522F5"/>
    <w:rsid w:val="168F1DC9"/>
    <w:rsid w:val="19F85470"/>
    <w:rsid w:val="19FE5F86"/>
    <w:rsid w:val="1F777407"/>
    <w:rsid w:val="2185105B"/>
    <w:rsid w:val="22A26DD5"/>
    <w:rsid w:val="24623FB1"/>
    <w:rsid w:val="28B61F81"/>
    <w:rsid w:val="2E58026E"/>
    <w:rsid w:val="2F5E4B4E"/>
    <w:rsid w:val="30FB3BB9"/>
    <w:rsid w:val="32221066"/>
    <w:rsid w:val="3DB63E8D"/>
    <w:rsid w:val="3EC65EE2"/>
    <w:rsid w:val="418D1221"/>
    <w:rsid w:val="468E61A3"/>
    <w:rsid w:val="47B06528"/>
    <w:rsid w:val="4C1861F7"/>
    <w:rsid w:val="4C3909F8"/>
    <w:rsid w:val="4DE33977"/>
    <w:rsid w:val="50626680"/>
    <w:rsid w:val="529A0378"/>
    <w:rsid w:val="53764934"/>
    <w:rsid w:val="59DB0274"/>
    <w:rsid w:val="5FA8593A"/>
    <w:rsid w:val="64C06B57"/>
    <w:rsid w:val="677139BC"/>
    <w:rsid w:val="67D90EF1"/>
    <w:rsid w:val="68E51EE8"/>
    <w:rsid w:val="694C30C1"/>
    <w:rsid w:val="6F0F2046"/>
    <w:rsid w:val="72FE2D27"/>
    <w:rsid w:val="7A8324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List"/>
    <w:basedOn w:val="1"/>
    <w:autoRedefine/>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autoRedefine/>
    <w:qFormat/>
    <w:uiPriority w:val="99"/>
    <w:rPr>
      <w:rFonts w:ascii="Times New Roman" w:hAnsi="Times New Roman" w:eastAsia="宋体" w:cs="Times New Roman"/>
      <w:sz w:val="18"/>
      <w:szCs w:val="18"/>
    </w:rPr>
  </w:style>
  <w:style w:type="character" w:customStyle="1" w:styleId="12">
    <w:name w:val="日期 Char"/>
    <w:basedOn w:val="8"/>
    <w:link w:val="3"/>
    <w:autoRedefine/>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1706</Words>
  <Characters>1825</Characters>
  <Lines>10</Lines>
  <Paragraphs>2</Paragraphs>
  <TotalTime>0</TotalTime>
  <ScaleCrop>false</ScaleCrop>
  <LinksUpToDate>false</LinksUpToDate>
  <CharactersWithSpaces>2137</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2022-06-07T07:45:00Z</dcterms:created>
  <dc:creator>陈希琳</dc:creator>
  <cp:lastModifiedBy>王怡</cp:lastModifiedBy>
  <cp:lastPrinted>2020-09-01T07:08:00Z</cp:lastPrinted>
  <dcterms:modified xsi:type="dcterms:W3CDTF">2024-04-17T03:32:44Z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3D89364955FB4816892C040047475797</vt:lpwstr>
  </property>
</Properties>
</file>