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360" w:lineRule="auto"/>
        <w:rPr>
          <w:rFonts w:hint="eastAsia" w:ascii="黑体" w:hAnsi="宋体" w:eastAsia="黑体"/>
          <w:sz w:val="40"/>
          <w:szCs w:val="40"/>
        </w:rPr>
      </w:pPr>
      <w:r>
        <w:rPr>
          <w:rFonts w:hint="eastAsia" w:ascii="黑体" w:hAnsi="宋体" w:eastAsia="黑体"/>
          <w:sz w:val="40"/>
          <w:szCs w:val="40"/>
        </w:rPr>
        <w:t>供应商须知</w:t>
      </w:r>
    </w:p>
    <w:p>
      <w:pPr>
        <w:numPr>
          <w:ilvl w:val="0"/>
          <w:numId w:val="0"/>
        </w:numPr>
        <w:rPr>
          <w:rFonts w:hint="eastAsia" w:ascii="宋体" w:cs="Arial"/>
          <w:color w:val="auto"/>
          <w:kern w:val="2"/>
          <w:lang w:val="en-US" w:eastAsia="zh-CN"/>
        </w:rPr>
      </w:pPr>
      <w:r>
        <w:rPr>
          <w:rFonts w:hint="eastAsia" w:ascii="宋体" w:cs="Arial"/>
          <w:b/>
          <w:bCs/>
          <w:color w:val="auto"/>
          <w:kern w:val="2"/>
          <w:sz w:val="28"/>
          <w:szCs w:val="36"/>
          <w:lang w:val="en-US" w:eastAsia="zh-CN"/>
        </w:rPr>
        <w:t>基本要求</w:t>
      </w:r>
      <w:r>
        <w:rPr>
          <w:rFonts w:hint="eastAsia" w:ascii="宋体" w:cs="Arial"/>
          <w:color w:val="auto"/>
          <w:kern w:val="2"/>
          <w:sz w:val="28"/>
          <w:szCs w:val="36"/>
          <w:lang w:val="en-US" w:eastAsia="zh-CN"/>
        </w:rPr>
        <w:t>：</w:t>
      </w:r>
    </w:p>
    <w:p>
      <w:pPr>
        <w:adjustRightInd w:val="0"/>
        <w:snapToGrid w:val="0"/>
        <w:spacing w:line="360" w:lineRule="auto"/>
        <w:ind w:firstLine="480" w:firstLineChars="200"/>
        <w:outlineLvl w:val="2"/>
        <w:rPr>
          <w:rFonts w:ascii="宋体" w:hAnsi="宋体" w:cs="Arial"/>
          <w:sz w:val="24"/>
        </w:rPr>
      </w:pPr>
      <w:r>
        <w:rPr>
          <w:rFonts w:hint="eastAsia" w:ascii="宋体" w:hAnsi="宋体" w:cs="Arial"/>
          <w:sz w:val="24"/>
        </w:rPr>
        <w:t>1、采购清单内技术规格要求仅为采购人的基本要求，并未对所有技术细节做出规定，供应商作为专业的生产制造企业须按国际、国家有关标准及规范完成本次采购各类产品的制造与检验、供货、运输、安装、调试与通过有关部门验收、质保期服务、家具终身维修等各项工作，并保证使用的寿命与可靠性。</w:t>
      </w:r>
    </w:p>
    <w:p>
      <w:pPr>
        <w:adjustRightInd w:val="0"/>
        <w:snapToGrid w:val="0"/>
        <w:spacing w:line="360" w:lineRule="auto"/>
        <w:ind w:firstLine="480" w:firstLineChars="200"/>
        <w:outlineLvl w:val="2"/>
        <w:rPr>
          <w:rFonts w:ascii="宋体" w:hAnsi="宋体" w:cs="Arial"/>
          <w:sz w:val="24"/>
        </w:rPr>
      </w:pPr>
      <w:r>
        <w:rPr>
          <w:rFonts w:hint="eastAsia" w:ascii="宋体" w:hAnsi="宋体" w:cs="Arial"/>
          <w:sz w:val="24"/>
        </w:rPr>
        <w:t>2、供应商应提供符合本技术要求和国家标准、行业标准的优质产品。</w:t>
      </w:r>
    </w:p>
    <w:p>
      <w:pPr>
        <w:adjustRightInd w:val="0"/>
        <w:snapToGrid w:val="0"/>
        <w:spacing w:line="360" w:lineRule="auto"/>
        <w:ind w:firstLine="480" w:firstLineChars="200"/>
        <w:outlineLvl w:val="2"/>
        <w:rPr>
          <w:rFonts w:ascii="宋体" w:hAnsi="宋体" w:cs="Arial"/>
          <w:sz w:val="24"/>
        </w:rPr>
      </w:pPr>
      <w:r>
        <w:rPr>
          <w:rFonts w:hint="eastAsia" w:ascii="宋体" w:hAnsi="宋体" w:cs="Arial"/>
          <w:sz w:val="24"/>
        </w:rPr>
        <w:t>3、供应商必须按采购清单中需要的家具及技术要求参加询价。如供应商产品与采购清单内技术要求不一致时，供应商应在响应文件中予以说明。如供应商没有在响应文件中提出异议，则视为供应商提供的产品完全符合采购需求，否则响应文件将可能被拒绝。</w:t>
      </w:r>
    </w:p>
    <w:p>
      <w:pPr>
        <w:adjustRightInd w:val="0"/>
        <w:snapToGrid w:val="0"/>
        <w:spacing w:line="360" w:lineRule="auto"/>
        <w:ind w:firstLine="480" w:firstLineChars="200"/>
        <w:outlineLvl w:val="2"/>
        <w:rPr>
          <w:rFonts w:ascii="宋体" w:hAnsi="宋体" w:cs="Arial"/>
          <w:sz w:val="24"/>
        </w:rPr>
      </w:pPr>
      <w:r>
        <w:rPr>
          <w:rFonts w:hint="eastAsia" w:ascii="宋体" w:hAnsi="宋体" w:cs="Arial"/>
          <w:sz w:val="24"/>
        </w:rPr>
        <w:t>4、知识产权：供应商对一切可能的侵权指控负责。</w:t>
      </w:r>
    </w:p>
    <w:p>
      <w:pPr>
        <w:adjustRightInd w:val="0"/>
        <w:snapToGrid w:val="0"/>
        <w:spacing w:line="360" w:lineRule="auto"/>
        <w:ind w:firstLine="480" w:firstLineChars="200"/>
        <w:outlineLvl w:val="2"/>
        <w:rPr>
          <w:rFonts w:ascii="宋体" w:hAnsi="宋体" w:cs="Arial"/>
          <w:sz w:val="24"/>
        </w:rPr>
      </w:pPr>
      <w:r>
        <w:rPr>
          <w:rFonts w:hint="eastAsia" w:ascii="宋体" w:hAnsi="宋体" w:cs="Arial"/>
          <w:sz w:val="24"/>
        </w:rPr>
        <w:t>5、产品的验收和抽检：厂家在生产过程中及产品送货后，采购人有权抽检原附材料和成品送浙江省家具与产品质量检验中心对原材料的环保技术参数进行验证和成品的材质、质量、环保性能等进行检验，所有检验费用由供应商承担。如产品检验不通过，供应商必须接受无条件退货并赔偿由此造成对采购人的所有损失（按合同总金额</w:t>
      </w:r>
      <w:r>
        <w:rPr>
          <w:rFonts w:ascii="宋体" w:hAnsi="宋体" w:cs="Arial"/>
          <w:sz w:val="24"/>
        </w:rPr>
        <w:t>200%</w:t>
      </w:r>
      <w:r>
        <w:rPr>
          <w:rFonts w:hint="eastAsia" w:ascii="宋体" w:hAnsi="宋体" w:cs="Arial"/>
          <w:sz w:val="24"/>
        </w:rPr>
        <w:t>进行赔偿）。</w:t>
      </w:r>
    </w:p>
    <w:p>
      <w:pPr>
        <w:adjustRightInd w:val="0"/>
        <w:snapToGrid w:val="0"/>
        <w:spacing w:line="360" w:lineRule="auto"/>
        <w:ind w:firstLine="480" w:firstLineChars="200"/>
        <w:outlineLvl w:val="2"/>
        <w:rPr>
          <w:rFonts w:ascii="宋体" w:hAnsi="宋体" w:cs="Arial"/>
          <w:sz w:val="24"/>
        </w:rPr>
      </w:pPr>
      <w:r>
        <w:rPr>
          <w:rFonts w:hint="eastAsia" w:ascii="宋体" w:hAnsi="宋体" w:cs="Arial"/>
          <w:sz w:val="24"/>
        </w:rPr>
        <w:t>6、根据采购人规定，供应商若存在以下情况，采购人有权利立即中止与该供应商的合作、停止付款并要求赔偿：</w:t>
      </w:r>
    </w:p>
    <w:p>
      <w:pPr>
        <w:adjustRightInd w:val="0"/>
        <w:snapToGrid w:val="0"/>
        <w:spacing w:line="360" w:lineRule="auto"/>
        <w:ind w:firstLine="480" w:firstLineChars="200"/>
        <w:outlineLvl w:val="2"/>
        <w:rPr>
          <w:rFonts w:ascii="宋体" w:hAnsi="宋体" w:cs="Arial"/>
          <w:sz w:val="24"/>
        </w:rPr>
      </w:pPr>
      <w:r>
        <w:rPr>
          <w:rFonts w:hint="eastAsia" w:ascii="宋体" w:hAnsi="宋体" w:cs="Arial"/>
          <w:sz w:val="24"/>
        </w:rPr>
        <w:t>（1）在规定的时间内不及时供货；</w:t>
      </w:r>
    </w:p>
    <w:p>
      <w:pPr>
        <w:adjustRightInd w:val="0"/>
        <w:snapToGrid w:val="0"/>
        <w:spacing w:line="360" w:lineRule="auto"/>
        <w:ind w:firstLine="480" w:firstLineChars="200"/>
        <w:outlineLvl w:val="2"/>
        <w:rPr>
          <w:rFonts w:ascii="宋体" w:hAnsi="宋体" w:cs="Arial"/>
          <w:sz w:val="24"/>
        </w:rPr>
      </w:pPr>
      <w:r>
        <w:rPr>
          <w:rFonts w:hint="eastAsia" w:ascii="宋体" w:hAnsi="宋体" w:cs="Arial"/>
          <w:sz w:val="24"/>
        </w:rPr>
        <w:t>（2）未经医院同意，擅自更换供应商；</w:t>
      </w:r>
    </w:p>
    <w:p>
      <w:pPr>
        <w:adjustRightInd w:val="0"/>
        <w:snapToGrid w:val="0"/>
        <w:spacing w:line="360" w:lineRule="auto"/>
        <w:ind w:firstLine="480" w:firstLineChars="200"/>
        <w:outlineLvl w:val="2"/>
        <w:rPr>
          <w:rFonts w:ascii="宋体" w:hAnsi="宋体" w:cs="Arial"/>
          <w:sz w:val="24"/>
        </w:rPr>
      </w:pPr>
      <w:r>
        <w:rPr>
          <w:rFonts w:hint="eastAsia" w:ascii="宋体" w:hAnsi="宋体" w:cs="Arial"/>
          <w:sz w:val="24"/>
        </w:rPr>
        <w:t>（3）未经医院同意，服务期内擅自改变供货产品价格；</w:t>
      </w:r>
    </w:p>
    <w:p>
      <w:pPr>
        <w:adjustRightInd w:val="0"/>
        <w:snapToGrid w:val="0"/>
        <w:spacing w:line="360" w:lineRule="auto"/>
        <w:ind w:firstLine="480" w:firstLineChars="200"/>
        <w:outlineLvl w:val="2"/>
        <w:rPr>
          <w:rFonts w:hint="eastAsia" w:ascii="宋体" w:hAnsi="宋体" w:cs="Arial"/>
          <w:sz w:val="24"/>
        </w:rPr>
      </w:pPr>
      <w:r>
        <w:rPr>
          <w:rFonts w:hint="eastAsia" w:ascii="宋体" w:hAnsi="宋体" w:cs="Arial"/>
          <w:sz w:val="24"/>
        </w:rPr>
        <w:t>（4）所供产品不符合询价响应承诺的性能要求；</w:t>
      </w:r>
    </w:p>
    <w:p>
      <w:pPr>
        <w:adjustRightInd w:val="0"/>
        <w:snapToGrid w:val="0"/>
        <w:spacing w:line="360" w:lineRule="auto"/>
        <w:ind w:firstLine="480" w:firstLineChars="200"/>
        <w:outlineLvl w:val="2"/>
        <w:rPr>
          <w:rFonts w:ascii="宋体" w:hAnsi="宋体" w:cs="Arial"/>
          <w:sz w:val="24"/>
        </w:rPr>
      </w:pPr>
      <w:r>
        <w:rPr>
          <w:rFonts w:hint="eastAsia" w:ascii="宋体" w:hAnsi="宋体" w:cs="Arial"/>
          <w:sz w:val="24"/>
        </w:rPr>
        <w:t>7、基本技术要求标准</w:t>
      </w:r>
    </w:p>
    <w:p>
      <w:pPr>
        <w:adjustRightInd w:val="0"/>
        <w:snapToGrid w:val="0"/>
        <w:spacing w:line="360" w:lineRule="auto"/>
        <w:ind w:firstLine="480" w:firstLineChars="200"/>
        <w:outlineLvl w:val="2"/>
        <w:rPr>
          <w:rFonts w:ascii="宋体" w:hAnsi="宋体" w:cs="Arial"/>
          <w:sz w:val="24"/>
        </w:rPr>
      </w:pPr>
      <w:r>
        <w:rPr>
          <w:rFonts w:hint="eastAsia" w:ascii="宋体" w:hAnsi="宋体" w:cs="Arial"/>
          <w:sz w:val="24"/>
        </w:rPr>
        <w:t>（1）拟供产品采用的主要用材料及配件品牌，应符合采购文件要求</w:t>
      </w:r>
      <w:r>
        <w:rPr>
          <w:rFonts w:ascii="宋体" w:hAnsi="宋体" w:cs="Arial"/>
          <w:sz w:val="24"/>
        </w:rPr>
        <w:t>,</w:t>
      </w:r>
      <w:r>
        <w:rPr>
          <w:rFonts w:hint="eastAsia" w:ascii="宋体" w:hAnsi="宋体" w:cs="Arial"/>
          <w:sz w:val="24"/>
        </w:rPr>
        <w:t>其技术要求应等同或优于采购文件所规定的技术要求，供应商应提供必要的证明文件以证明该产品的技术性能，可靠性及耐用性，使采购人完全满意。如果响应品牌采用的材料及配件品牌采购人不能满意的，成交后采购人有权要求成交人按采购文件的要求选用材料及配件，但价格不予调整。</w:t>
      </w:r>
    </w:p>
    <w:p>
      <w:pPr>
        <w:adjustRightInd w:val="0"/>
        <w:snapToGrid w:val="0"/>
        <w:spacing w:line="360" w:lineRule="auto"/>
        <w:ind w:firstLine="480" w:firstLineChars="200"/>
        <w:outlineLvl w:val="2"/>
        <w:rPr>
          <w:rFonts w:ascii="宋体" w:hAnsi="宋体" w:cs="宋体"/>
          <w:sz w:val="24"/>
        </w:rPr>
      </w:pPr>
      <w:r>
        <w:rPr>
          <w:rFonts w:hint="eastAsia" w:ascii="宋体" w:hAnsi="宋体" w:cs="Arial"/>
          <w:sz w:val="24"/>
        </w:rPr>
        <w:t>（2）供应商提供的产品应标明所执行的质量标准，若同一标准已颁发新标准，则按最新标准执行。若同一</w:t>
      </w:r>
      <w:r>
        <w:rPr>
          <w:rFonts w:hint="eastAsia" w:ascii="宋体" w:hAnsi="宋体" w:cs="宋体"/>
          <w:sz w:val="24"/>
        </w:rPr>
        <w:t>产品同时适用多种标准（国际标准、国家标准、行业标准、企业标准等），则按最高层次的标准执行。部分参考执行标准如下（询价响应时，如有最新施行的标准或更新版本的标准，则按新的执行）：</w:t>
      </w:r>
      <w:r>
        <w:rPr>
          <w:rFonts w:ascii="宋体" w:hAnsi="宋体" w:cs="宋体"/>
          <w:sz w:val="24"/>
        </w:rPr>
        <w:t xml:space="preserve"> </w:t>
      </w:r>
    </w:p>
    <w:p>
      <w:pPr>
        <w:adjustRightInd w:val="0"/>
        <w:snapToGrid w:val="0"/>
        <w:spacing w:line="360" w:lineRule="auto"/>
        <w:ind w:left="480"/>
        <w:outlineLvl w:val="2"/>
        <w:rPr>
          <w:rFonts w:ascii="宋体" w:hAnsi="宋体" w:cs="宋体"/>
          <w:sz w:val="24"/>
        </w:rPr>
      </w:pPr>
      <w:r>
        <w:rPr>
          <w:rFonts w:ascii="宋体" w:hAnsi="宋体" w:cs="宋体"/>
          <w:sz w:val="24"/>
        </w:rPr>
        <w:t>GB/T 708-2019冷轧钢板和钢带的尺寸、外形、重量及允许偏差</w:t>
      </w:r>
    </w:p>
    <w:p>
      <w:pPr>
        <w:adjustRightInd w:val="0"/>
        <w:snapToGrid w:val="0"/>
        <w:spacing w:line="360" w:lineRule="auto"/>
        <w:ind w:left="480"/>
        <w:outlineLvl w:val="2"/>
        <w:rPr>
          <w:rFonts w:ascii="宋体" w:hAnsi="宋体" w:cs="宋体"/>
          <w:sz w:val="24"/>
        </w:rPr>
      </w:pPr>
      <w:r>
        <w:rPr>
          <w:rFonts w:ascii="宋体" w:hAnsi="宋体" w:cs="宋体"/>
          <w:sz w:val="24"/>
        </w:rPr>
        <w:t>GB/T 3324-2017木家具通用技术条件</w:t>
      </w:r>
    </w:p>
    <w:p>
      <w:pPr>
        <w:adjustRightInd w:val="0"/>
        <w:snapToGrid w:val="0"/>
        <w:spacing w:line="360" w:lineRule="auto"/>
        <w:ind w:left="480"/>
        <w:outlineLvl w:val="2"/>
        <w:rPr>
          <w:rFonts w:ascii="宋体" w:hAnsi="宋体" w:cs="宋体"/>
          <w:sz w:val="24"/>
        </w:rPr>
      </w:pPr>
      <w:r>
        <w:rPr>
          <w:rFonts w:ascii="宋体" w:hAnsi="宋体" w:cs="宋体"/>
          <w:sz w:val="24"/>
        </w:rPr>
        <w:t>GB/T 3325-2017金属家具通用技术条件</w:t>
      </w:r>
    </w:p>
    <w:p>
      <w:pPr>
        <w:adjustRightInd w:val="0"/>
        <w:snapToGrid w:val="0"/>
        <w:spacing w:line="360" w:lineRule="auto"/>
        <w:ind w:left="480"/>
        <w:outlineLvl w:val="2"/>
        <w:rPr>
          <w:rFonts w:ascii="宋体" w:hAnsi="宋体" w:cs="宋体"/>
          <w:sz w:val="24"/>
        </w:rPr>
      </w:pPr>
      <w:r>
        <w:rPr>
          <w:rFonts w:ascii="宋体" w:hAnsi="宋体" w:cs="宋体"/>
          <w:sz w:val="24"/>
        </w:rPr>
        <w:t>GB/T 3328-2016家具床类主要尺寸</w:t>
      </w:r>
    </w:p>
    <w:p>
      <w:pPr>
        <w:adjustRightInd w:val="0"/>
        <w:snapToGrid w:val="0"/>
        <w:spacing w:line="360" w:lineRule="auto"/>
        <w:ind w:left="480"/>
        <w:outlineLvl w:val="2"/>
        <w:rPr>
          <w:rFonts w:ascii="宋体" w:hAnsi="宋体" w:cs="宋体"/>
          <w:sz w:val="24"/>
        </w:rPr>
      </w:pPr>
      <w:r>
        <w:rPr>
          <w:rFonts w:ascii="宋体" w:hAnsi="宋体" w:cs="宋体"/>
          <w:sz w:val="24"/>
        </w:rPr>
        <w:t>GB/T 3810.4-2016陶瓷砖试验方法第4部分：断裂模数和破坏强度的测定</w:t>
      </w:r>
    </w:p>
    <w:p>
      <w:pPr>
        <w:adjustRightInd w:val="0"/>
        <w:snapToGrid w:val="0"/>
        <w:spacing w:line="360" w:lineRule="auto"/>
        <w:ind w:left="480"/>
        <w:outlineLvl w:val="2"/>
        <w:rPr>
          <w:rFonts w:ascii="宋体" w:hAnsi="宋体" w:cs="宋体"/>
          <w:sz w:val="24"/>
        </w:rPr>
      </w:pPr>
      <w:r>
        <w:rPr>
          <w:rFonts w:ascii="宋体" w:hAnsi="宋体" w:cs="宋体"/>
          <w:sz w:val="24"/>
        </w:rPr>
        <w:t>GB/T 3920-2008纺织品色牢度试验耐摩擦色牢度</w:t>
      </w:r>
    </w:p>
    <w:p>
      <w:pPr>
        <w:adjustRightInd w:val="0"/>
        <w:snapToGrid w:val="0"/>
        <w:spacing w:line="360" w:lineRule="auto"/>
        <w:ind w:left="480"/>
        <w:outlineLvl w:val="2"/>
        <w:rPr>
          <w:rFonts w:ascii="宋体" w:hAnsi="宋体" w:cs="宋体"/>
          <w:sz w:val="24"/>
        </w:rPr>
      </w:pPr>
      <w:r>
        <w:rPr>
          <w:rFonts w:ascii="宋体" w:hAnsi="宋体" w:cs="宋体"/>
          <w:sz w:val="24"/>
        </w:rPr>
        <w:t>GB/T 4100-2015陶瓷砖</w:t>
      </w:r>
    </w:p>
    <w:p>
      <w:pPr>
        <w:adjustRightInd w:val="0"/>
        <w:snapToGrid w:val="0"/>
        <w:spacing w:line="360" w:lineRule="auto"/>
        <w:ind w:left="480"/>
        <w:outlineLvl w:val="2"/>
        <w:rPr>
          <w:rFonts w:ascii="宋体" w:hAnsi="宋体" w:cs="宋体"/>
          <w:sz w:val="24"/>
        </w:rPr>
      </w:pPr>
      <w:r>
        <w:rPr>
          <w:rFonts w:ascii="宋体" w:hAnsi="宋体" w:cs="宋体"/>
          <w:sz w:val="24"/>
        </w:rPr>
        <w:t>GB/T 4897-2015刨花板</w:t>
      </w:r>
    </w:p>
    <w:p>
      <w:pPr>
        <w:adjustRightInd w:val="0"/>
        <w:snapToGrid w:val="0"/>
        <w:spacing w:line="360" w:lineRule="auto"/>
        <w:ind w:left="480"/>
        <w:outlineLvl w:val="2"/>
        <w:rPr>
          <w:rFonts w:ascii="宋体" w:hAnsi="宋体" w:cs="宋体"/>
          <w:sz w:val="24"/>
        </w:rPr>
      </w:pPr>
      <w:r>
        <w:rPr>
          <w:rFonts w:ascii="宋体" w:hAnsi="宋体" w:cs="宋体"/>
          <w:sz w:val="24"/>
        </w:rPr>
        <w:t>GB 6566建筑材料放射性核素限量</w:t>
      </w:r>
    </w:p>
    <w:p>
      <w:pPr>
        <w:adjustRightInd w:val="0"/>
        <w:snapToGrid w:val="0"/>
        <w:spacing w:line="360" w:lineRule="auto"/>
        <w:ind w:left="480"/>
        <w:outlineLvl w:val="2"/>
        <w:rPr>
          <w:rFonts w:ascii="宋体" w:hAnsi="宋体" w:cs="宋体"/>
          <w:sz w:val="24"/>
        </w:rPr>
      </w:pPr>
      <w:r>
        <w:rPr>
          <w:rFonts w:ascii="宋体" w:hAnsi="宋体" w:cs="宋体"/>
          <w:sz w:val="24"/>
        </w:rPr>
        <w:t>GB/T 6728-2017结构用冷弯空心型钢</w:t>
      </w:r>
    </w:p>
    <w:p>
      <w:pPr>
        <w:adjustRightInd w:val="0"/>
        <w:snapToGrid w:val="0"/>
        <w:spacing w:line="360" w:lineRule="auto"/>
        <w:ind w:left="480"/>
        <w:outlineLvl w:val="2"/>
        <w:rPr>
          <w:rFonts w:ascii="宋体" w:hAnsi="宋体" w:cs="宋体"/>
          <w:sz w:val="24"/>
        </w:rPr>
      </w:pPr>
      <w:r>
        <w:rPr>
          <w:rFonts w:ascii="宋体" w:hAnsi="宋体" w:cs="宋体"/>
          <w:sz w:val="24"/>
        </w:rPr>
        <w:t>GB/T 6739-2006色漆和清漆铅笔法测定漆膜硬度</w:t>
      </w:r>
    </w:p>
    <w:p>
      <w:pPr>
        <w:adjustRightInd w:val="0"/>
        <w:snapToGrid w:val="0"/>
        <w:spacing w:line="360" w:lineRule="auto"/>
        <w:ind w:left="480"/>
        <w:outlineLvl w:val="2"/>
        <w:rPr>
          <w:rFonts w:ascii="宋体" w:hAnsi="宋体" w:cs="宋体"/>
          <w:sz w:val="24"/>
        </w:rPr>
      </w:pPr>
      <w:r>
        <w:rPr>
          <w:rFonts w:ascii="宋体" w:hAnsi="宋体" w:cs="宋体"/>
          <w:sz w:val="24"/>
        </w:rPr>
        <w:t>GB/T 9846-2015普通胶合板</w:t>
      </w:r>
    </w:p>
    <w:p>
      <w:pPr>
        <w:adjustRightInd w:val="0"/>
        <w:snapToGrid w:val="0"/>
        <w:spacing w:line="360" w:lineRule="auto"/>
        <w:ind w:left="480"/>
        <w:outlineLvl w:val="2"/>
        <w:rPr>
          <w:rFonts w:ascii="宋体" w:hAnsi="宋体" w:cs="宋体"/>
          <w:sz w:val="24"/>
        </w:rPr>
      </w:pPr>
      <w:r>
        <w:rPr>
          <w:rFonts w:ascii="宋体" w:hAnsi="宋体" w:cs="宋体"/>
          <w:sz w:val="24"/>
        </w:rPr>
        <w:t>GB/T 10357.3-2013家具力学性能试验第3部分：椅凳类强度和耐久性</w:t>
      </w:r>
    </w:p>
    <w:p>
      <w:pPr>
        <w:adjustRightInd w:val="0"/>
        <w:snapToGrid w:val="0"/>
        <w:spacing w:line="360" w:lineRule="auto"/>
        <w:ind w:left="480"/>
        <w:outlineLvl w:val="2"/>
        <w:rPr>
          <w:rFonts w:ascii="宋体" w:hAnsi="宋体" w:cs="宋体"/>
          <w:sz w:val="24"/>
        </w:rPr>
      </w:pPr>
      <w:r>
        <w:rPr>
          <w:rFonts w:ascii="宋体" w:hAnsi="宋体" w:cs="宋体"/>
          <w:sz w:val="24"/>
        </w:rPr>
        <w:t>GB/T 10357.6-2013家具力学性能试验第6部分：单层床强度和耐久性</w:t>
      </w:r>
    </w:p>
    <w:p>
      <w:pPr>
        <w:adjustRightInd w:val="0"/>
        <w:snapToGrid w:val="0"/>
        <w:spacing w:line="360" w:lineRule="auto"/>
        <w:ind w:left="480"/>
        <w:outlineLvl w:val="2"/>
        <w:rPr>
          <w:rFonts w:ascii="宋体" w:hAnsi="宋体" w:cs="宋体"/>
          <w:sz w:val="24"/>
        </w:rPr>
      </w:pPr>
      <w:r>
        <w:rPr>
          <w:rFonts w:ascii="宋体" w:hAnsi="宋体" w:cs="宋体"/>
          <w:sz w:val="24"/>
        </w:rPr>
        <w:t>GB/T 10802-2006通用软质聚醚型聚氨酯泡沫塑料</w:t>
      </w:r>
    </w:p>
    <w:p>
      <w:pPr>
        <w:adjustRightInd w:val="0"/>
        <w:snapToGrid w:val="0"/>
        <w:spacing w:line="360" w:lineRule="auto"/>
        <w:ind w:left="480"/>
        <w:outlineLvl w:val="2"/>
        <w:rPr>
          <w:rFonts w:ascii="宋体" w:hAnsi="宋体" w:cs="宋体"/>
          <w:sz w:val="24"/>
        </w:rPr>
      </w:pPr>
      <w:r>
        <w:rPr>
          <w:rFonts w:ascii="宋体" w:hAnsi="宋体" w:cs="宋体"/>
          <w:sz w:val="24"/>
        </w:rPr>
        <w:t>GB/T 11718-2009中密度纤维板</w:t>
      </w:r>
    </w:p>
    <w:p>
      <w:pPr>
        <w:adjustRightInd w:val="0"/>
        <w:snapToGrid w:val="0"/>
        <w:spacing w:line="360" w:lineRule="auto"/>
        <w:ind w:left="480"/>
        <w:outlineLvl w:val="2"/>
        <w:rPr>
          <w:rFonts w:ascii="宋体" w:hAnsi="宋体" w:cs="宋体"/>
          <w:sz w:val="24"/>
        </w:rPr>
      </w:pPr>
      <w:r>
        <w:rPr>
          <w:rFonts w:ascii="宋体" w:hAnsi="宋体" w:cs="宋体"/>
          <w:sz w:val="24"/>
        </w:rPr>
        <w:t>GB/T 15102-2017浸渍胶膜纸饰面纤维板和刨花板</w:t>
      </w:r>
    </w:p>
    <w:p>
      <w:pPr>
        <w:adjustRightInd w:val="0"/>
        <w:snapToGrid w:val="0"/>
        <w:spacing w:line="360" w:lineRule="auto"/>
        <w:ind w:left="480"/>
        <w:outlineLvl w:val="2"/>
        <w:rPr>
          <w:rFonts w:ascii="宋体" w:hAnsi="宋体" w:cs="宋体"/>
          <w:sz w:val="24"/>
        </w:rPr>
      </w:pPr>
      <w:r>
        <w:rPr>
          <w:rFonts w:ascii="宋体" w:hAnsi="宋体" w:cs="宋体"/>
          <w:sz w:val="24"/>
        </w:rPr>
        <w:t>GB/T 16799-2018家具用皮革</w:t>
      </w:r>
    </w:p>
    <w:p>
      <w:pPr>
        <w:adjustRightInd w:val="0"/>
        <w:snapToGrid w:val="0"/>
        <w:spacing w:line="360" w:lineRule="auto"/>
        <w:ind w:left="480"/>
        <w:outlineLvl w:val="2"/>
        <w:rPr>
          <w:rFonts w:ascii="宋体" w:hAnsi="宋体" w:cs="宋体"/>
          <w:sz w:val="24"/>
        </w:rPr>
      </w:pPr>
      <w:r>
        <w:rPr>
          <w:rFonts w:ascii="宋体" w:hAnsi="宋体" w:cs="宋体"/>
          <w:sz w:val="24"/>
        </w:rPr>
        <w:t>GB/T 17657-2013人造板及饰面人造板理化性能试验方法</w:t>
      </w:r>
    </w:p>
    <w:p>
      <w:pPr>
        <w:adjustRightInd w:val="0"/>
        <w:snapToGrid w:val="0"/>
        <w:spacing w:line="360" w:lineRule="auto"/>
        <w:ind w:left="480"/>
        <w:outlineLvl w:val="2"/>
        <w:rPr>
          <w:rFonts w:hint="eastAsia" w:ascii="宋体" w:hAnsi="宋体" w:cs="宋体"/>
          <w:sz w:val="24"/>
        </w:rPr>
      </w:pPr>
      <w:r>
        <w:rPr>
          <w:rFonts w:ascii="宋体" w:hAnsi="宋体" w:cs="宋体"/>
          <w:sz w:val="24"/>
        </w:rPr>
        <w:t>GB 17927.2软体家具床垫和沙发抗引燃特性的评定第2部分：模拟火柴火焰</w:t>
      </w:r>
    </w:p>
    <w:p>
      <w:pPr>
        <w:adjustRightInd w:val="0"/>
        <w:snapToGrid w:val="0"/>
        <w:spacing w:line="360" w:lineRule="auto"/>
        <w:ind w:left="480"/>
        <w:outlineLvl w:val="2"/>
        <w:rPr>
          <w:rFonts w:ascii="宋体" w:hAnsi="宋体" w:cs="宋体"/>
          <w:sz w:val="24"/>
        </w:rPr>
      </w:pPr>
      <w:r>
        <w:rPr>
          <w:rFonts w:ascii="宋体" w:hAnsi="宋体" w:cs="宋体"/>
          <w:sz w:val="24"/>
        </w:rPr>
        <w:t>GB 18145陶瓷片密封水嘴</w:t>
      </w:r>
    </w:p>
    <w:p>
      <w:pPr>
        <w:adjustRightInd w:val="0"/>
        <w:snapToGrid w:val="0"/>
        <w:spacing w:line="360" w:lineRule="auto"/>
        <w:ind w:left="480"/>
        <w:outlineLvl w:val="2"/>
        <w:rPr>
          <w:rFonts w:ascii="宋体" w:hAnsi="宋体" w:cs="宋体"/>
          <w:sz w:val="24"/>
        </w:rPr>
      </w:pPr>
      <w:r>
        <w:rPr>
          <w:rFonts w:ascii="宋体" w:hAnsi="宋体" w:cs="宋体"/>
          <w:sz w:val="24"/>
        </w:rPr>
        <w:t>GB 18580室内装饰装修材料人造板及其制品中甲醛释放限量</w:t>
      </w:r>
    </w:p>
    <w:p>
      <w:pPr>
        <w:adjustRightInd w:val="0"/>
        <w:snapToGrid w:val="0"/>
        <w:spacing w:line="360" w:lineRule="auto"/>
        <w:ind w:left="480"/>
        <w:outlineLvl w:val="2"/>
        <w:rPr>
          <w:rFonts w:ascii="宋体" w:hAnsi="宋体" w:cs="宋体"/>
          <w:sz w:val="24"/>
        </w:rPr>
      </w:pPr>
      <w:r>
        <w:rPr>
          <w:rFonts w:ascii="宋体" w:hAnsi="宋体" w:cs="宋体"/>
          <w:sz w:val="24"/>
        </w:rPr>
        <w:t>GB 18581木器涂料中有害物质限量</w:t>
      </w:r>
    </w:p>
    <w:p>
      <w:pPr>
        <w:adjustRightInd w:val="0"/>
        <w:snapToGrid w:val="0"/>
        <w:spacing w:line="360" w:lineRule="auto"/>
        <w:ind w:left="480"/>
        <w:outlineLvl w:val="2"/>
        <w:rPr>
          <w:rFonts w:ascii="宋体" w:hAnsi="宋体" w:cs="宋体"/>
          <w:sz w:val="24"/>
        </w:rPr>
      </w:pPr>
      <w:r>
        <w:rPr>
          <w:rFonts w:ascii="宋体" w:hAnsi="宋体" w:cs="宋体"/>
          <w:sz w:val="24"/>
        </w:rPr>
        <w:t>GB 18583室内装饰装修材料胶粘剂中有害物质限量</w:t>
      </w:r>
    </w:p>
    <w:p>
      <w:pPr>
        <w:adjustRightInd w:val="0"/>
        <w:snapToGrid w:val="0"/>
        <w:spacing w:line="360" w:lineRule="auto"/>
        <w:ind w:left="480"/>
        <w:outlineLvl w:val="2"/>
        <w:rPr>
          <w:rFonts w:ascii="宋体" w:hAnsi="宋体" w:cs="宋体"/>
          <w:sz w:val="24"/>
        </w:rPr>
      </w:pPr>
      <w:r>
        <w:rPr>
          <w:rFonts w:ascii="宋体" w:hAnsi="宋体" w:cs="宋体"/>
          <w:sz w:val="24"/>
        </w:rPr>
        <w:t>GB 18584室内装饰装修材料木家具中有害物质限量</w:t>
      </w:r>
    </w:p>
    <w:p>
      <w:pPr>
        <w:adjustRightInd w:val="0"/>
        <w:snapToGrid w:val="0"/>
        <w:spacing w:line="360" w:lineRule="auto"/>
        <w:ind w:left="480"/>
        <w:outlineLvl w:val="2"/>
        <w:rPr>
          <w:rFonts w:ascii="宋体" w:hAnsi="宋体" w:cs="宋体"/>
          <w:sz w:val="24"/>
        </w:rPr>
      </w:pPr>
      <w:r>
        <w:rPr>
          <w:rFonts w:ascii="宋体" w:hAnsi="宋体" w:cs="宋体"/>
          <w:sz w:val="24"/>
        </w:rPr>
        <w:t>GB/T 19817-2005纺织品装饰用织物</w:t>
      </w:r>
    </w:p>
    <w:p>
      <w:pPr>
        <w:adjustRightInd w:val="0"/>
        <w:snapToGrid w:val="0"/>
        <w:spacing w:line="360" w:lineRule="auto"/>
        <w:ind w:left="480"/>
        <w:outlineLvl w:val="2"/>
        <w:rPr>
          <w:rFonts w:ascii="宋体" w:hAnsi="宋体" w:cs="宋体"/>
          <w:sz w:val="24"/>
        </w:rPr>
      </w:pPr>
      <w:r>
        <w:rPr>
          <w:rFonts w:ascii="宋体" w:hAnsi="宋体" w:cs="宋体"/>
          <w:sz w:val="24"/>
        </w:rPr>
        <w:t>GB 21556锁具安全通用技术条件</w:t>
      </w:r>
    </w:p>
    <w:p>
      <w:pPr>
        <w:adjustRightInd w:val="0"/>
        <w:snapToGrid w:val="0"/>
        <w:spacing w:line="360" w:lineRule="auto"/>
        <w:ind w:left="480"/>
        <w:outlineLvl w:val="2"/>
        <w:rPr>
          <w:rFonts w:ascii="宋体" w:hAnsi="宋体" w:cs="宋体"/>
          <w:sz w:val="24"/>
        </w:rPr>
      </w:pPr>
      <w:r>
        <w:rPr>
          <w:rFonts w:ascii="宋体" w:hAnsi="宋体" w:cs="宋体"/>
          <w:sz w:val="24"/>
        </w:rPr>
        <w:t>GB/T 21747-2008教学实验室设备实验台(桌)的安全要求及试验方法</w:t>
      </w:r>
    </w:p>
    <w:p>
      <w:pPr>
        <w:adjustRightInd w:val="0"/>
        <w:snapToGrid w:val="0"/>
        <w:spacing w:line="360" w:lineRule="auto"/>
        <w:ind w:left="480"/>
        <w:outlineLvl w:val="2"/>
        <w:rPr>
          <w:rFonts w:ascii="宋体" w:hAnsi="宋体" w:cs="宋体"/>
          <w:sz w:val="24"/>
        </w:rPr>
      </w:pPr>
      <w:r>
        <w:rPr>
          <w:rFonts w:ascii="宋体" w:hAnsi="宋体" w:cs="宋体"/>
          <w:sz w:val="24"/>
        </w:rPr>
        <w:t>GB 24820实验室家具通用技术条件</w:t>
      </w:r>
    </w:p>
    <w:p>
      <w:pPr>
        <w:adjustRightInd w:val="0"/>
        <w:snapToGrid w:val="0"/>
        <w:spacing w:line="360" w:lineRule="auto"/>
        <w:ind w:left="480"/>
        <w:outlineLvl w:val="2"/>
        <w:rPr>
          <w:rFonts w:ascii="宋体" w:hAnsi="宋体" w:cs="宋体"/>
          <w:sz w:val="24"/>
        </w:rPr>
      </w:pPr>
      <w:r>
        <w:rPr>
          <w:rFonts w:ascii="宋体" w:hAnsi="宋体" w:cs="宋体"/>
          <w:sz w:val="24"/>
        </w:rPr>
        <w:t>GB/T 26696-2011家具用高分子材料台面板</w:t>
      </w:r>
    </w:p>
    <w:p>
      <w:pPr>
        <w:adjustRightInd w:val="0"/>
        <w:snapToGrid w:val="0"/>
        <w:spacing w:line="360" w:lineRule="auto"/>
        <w:ind w:left="480"/>
        <w:outlineLvl w:val="2"/>
        <w:rPr>
          <w:rFonts w:ascii="宋体" w:hAnsi="宋体" w:cs="宋体"/>
          <w:sz w:val="24"/>
        </w:rPr>
      </w:pPr>
      <w:r>
        <w:rPr>
          <w:rFonts w:ascii="宋体" w:hAnsi="宋体" w:cs="宋体"/>
          <w:sz w:val="24"/>
        </w:rPr>
        <w:t>GB/T 26706-2011软体家具棕纤维弹性床垫</w:t>
      </w:r>
    </w:p>
    <w:p>
      <w:pPr>
        <w:adjustRightInd w:val="0"/>
        <w:snapToGrid w:val="0"/>
        <w:spacing w:line="360" w:lineRule="auto"/>
        <w:ind w:left="480"/>
        <w:outlineLvl w:val="2"/>
        <w:rPr>
          <w:rFonts w:ascii="宋体" w:hAnsi="宋体" w:cs="宋体"/>
          <w:sz w:val="24"/>
        </w:rPr>
      </w:pPr>
      <w:r>
        <w:rPr>
          <w:rFonts w:ascii="宋体" w:hAnsi="宋体" w:cs="宋体"/>
          <w:sz w:val="24"/>
        </w:rPr>
        <w:t>GB/T 28203-2011家具用连接件技术要求及试验方法</w:t>
      </w:r>
    </w:p>
    <w:p>
      <w:pPr>
        <w:adjustRightInd w:val="0"/>
        <w:snapToGrid w:val="0"/>
        <w:spacing w:line="360" w:lineRule="auto"/>
        <w:ind w:left="480"/>
        <w:outlineLvl w:val="2"/>
        <w:rPr>
          <w:rFonts w:ascii="宋体" w:hAnsi="宋体" w:cs="宋体"/>
          <w:sz w:val="24"/>
        </w:rPr>
      </w:pPr>
      <w:r>
        <w:rPr>
          <w:rFonts w:ascii="宋体" w:hAnsi="宋体" w:cs="宋体"/>
          <w:sz w:val="24"/>
        </w:rPr>
        <w:t>GB/T 29899-2013人造板及其制品中挥发性有机化合物释放量试验方法小型释放舱法</w:t>
      </w:r>
    </w:p>
    <w:p>
      <w:pPr>
        <w:adjustRightInd w:val="0"/>
        <w:snapToGrid w:val="0"/>
        <w:spacing w:line="360" w:lineRule="auto"/>
        <w:ind w:left="480"/>
        <w:outlineLvl w:val="2"/>
        <w:rPr>
          <w:rFonts w:ascii="宋体" w:hAnsi="宋体" w:cs="宋体"/>
          <w:sz w:val="24"/>
        </w:rPr>
      </w:pPr>
      <w:r>
        <w:rPr>
          <w:rFonts w:ascii="宋体" w:hAnsi="宋体" w:cs="宋体"/>
          <w:sz w:val="24"/>
        </w:rPr>
        <w:t>GB/T 31402-2015塑料塑料表面抗菌性能试验方法</w:t>
      </w:r>
    </w:p>
    <w:p>
      <w:pPr>
        <w:adjustRightInd w:val="0"/>
        <w:snapToGrid w:val="0"/>
        <w:spacing w:line="360" w:lineRule="auto"/>
        <w:ind w:left="480"/>
        <w:outlineLvl w:val="2"/>
        <w:rPr>
          <w:rFonts w:ascii="宋体" w:hAnsi="宋体" w:cs="宋体"/>
          <w:sz w:val="24"/>
        </w:rPr>
      </w:pPr>
      <w:r>
        <w:rPr>
          <w:rFonts w:ascii="宋体" w:hAnsi="宋体" w:cs="宋体"/>
          <w:sz w:val="24"/>
        </w:rPr>
        <w:t>GB/T 35607-2017绿色产品评价家具</w:t>
      </w:r>
    </w:p>
    <w:p>
      <w:pPr>
        <w:adjustRightInd w:val="0"/>
        <w:snapToGrid w:val="0"/>
        <w:spacing w:line="360" w:lineRule="auto"/>
        <w:ind w:left="480"/>
        <w:outlineLvl w:val="2"/>
        <w:rPr>
          <w:rFonts w:ascii="宋体" w:hAnsi="宋体" w:cs="宋体"/>
          <w:sz w:val="24"/>
        </w:rPr>
      </w:pPr>
      <w:r>
        <w:rPr>
          <w:rFonts w:ascii="宋体" w:hAnsi="宋体" w:cs="宋体"/>
          <w:sz w:val="24"/>
        </w:rPr>
        <w:t>GB/T 37652-2019家具售后服务要求</w:t>
      </w:r>
    </w:p>
    <w:p>
      <w:pPr>
        <w:adjustRightInd w:val="0"/>
        <w:snapToGrid w:val="0"/>
        <w:spacing w:line="360" w:lineRule="auto"/>
        <w:ind w:left="480"/>
        <w:outlineLvl w:val="2"/>
        <w:rPr>
          <w:rFonts w:ascii="宋体" w:hAnsi="宋体" w:cs="宋体"/>
          <w:sz w:val="24"/>
        </w:rPr>
      </w:pPr>
      <w:r>
        <w:rPr>
          <w:rFonts w:ascii="宋体" w:hAnsi="宋体" w:cs="宋体"/>
          <w:sz w:val="24"/>
        </w:rPr>
        <w:t>HJ 507环境标志产品技术要求皮革和合成革</w:t>
      </w:r>
    </w:p>
    <w:p>
      <w:pPr>
        <w:adjustRightInd w:val="0"/>
        <w:snapToGrid w:val="0"/>
        <w:spacing w:line="360" w:lineRule="auto"/>
        <w:ind w:left="480"/>
        <w:outlineLvl w:val="2"/>
        <w:rPr>
          <w:rFonts w:ascii="宋体" w:hAnsi="宋体" w:cs="宋体"/>
          <w:sz w:val="24"/>
        </w:rPr>
      </w:pPr>
      <w:r>
        <w:rPr>
          <w:rFonts w:ascii="宋体" w:hAnsi="宋体" w:cs="宋体"/>
          <w:sz w:val="24"/>
        </w:rPr>
        <w:t>HJ 571环境标志产品技术要求人造板及其制品</w:t>
      </w:r>
    </w:p>
    <w:p>
      <w:pPr>
        <w:adjustRightInd w:val="0"/>
        <w:snapToGrid w:val="0"/>
        <w:spacing w:line="360" w:lineRule="auto"/>
        <w:ind w:left="480"/>
        <w:outlineLvl w:val="2"/>
        <w:rPr>
          <w:rFonts w:ascii="宋体" w:hAnsi="宋体" w:cs="宋体"/>
          <w:sz w:val="24"/>
        </w:rPr>
      </w:pPr>
      <w:r>
        <w:rPr>
          <w:rFonts w:ascii="宋体" w:hAnsi="宋体" w:cs="宋体"/>
          <w:sz w:val="24"/>
        </w:rPr>
        <w:t>HJ 2537环境标志产品技术要求水性涂料</w:t>
      </w:r>
    </w:p>
    <w:p>
      <w:pPr>
        <w:adjustRightInd w:val="0"/>
        <w:snapToGrid w:val="0"/>
        <w:spacing w:line="360" w:lineRule="auto"/>
        <w:ind w:left="480"/>
        <w:outlineLvl w:val="2"/>
        <w:rPr>
          <w:rFonts w:ascii="宋体" w:hAnsi="宋体" w:cs="宋体"/>
          <w:sz w:val="24"/>
        </w:rPr>
      </w:pPr>
      <w:r>
        <w:rPr>
          <w:rFonts w:ascii="宋体" w:hAnsi="宋体" w:cs="宋体"/>
          <w:sz w:val="24"/>
        </w:rPr>
        <w:t>HJ 2541环境标志产品技术要求胶黏剂</w:t>
      </w:r>
    </w:p>
    <w:p>
      <w:pPr>
        <w:adjustRightInd w:val="0"/>
        <w:snapToGrid w:val="0"/>
        <w:spacing w:line="360" w:lineRule="auto"/>
        <w:ind w:left="480"/>
        <w:outlineLvl w:val="2"/>
        <w:rPr>
          <w:rFonts w:ascii="宋体" w:hAnsi="宋体" w:cs="宋体"/>
          <w:sz w:val="24"/>
        </w:rPr>
      </w:pPr>
      <w:r>
        <w:rPr>
          <w:rFonts w:ascii="宋体" w:hAnsi="宋体" w:cs="宋体"/>
          <w:sz w:val="24"/>
        </w:rPr>
        <w:t>HJ 2546环境标志产品技术要求纺织品</w:t>
      </w:r>
    </w:p>
    <w:p>
      <w:pPr>
        <w:adjustRightInd w:val="0"/>
        <w:snapToGrid w:val="0"/>
        <w:spacing w:line="360" w:lineRule="auto"/>
        <w:ind w:left="480"/>
        <w:outlineLvl w:val="2"/>
        <w:rPr>
          <w:rFonts w:ascii="宋体" w:hAnsi="宋体" w:cs="宋体"/>
          <w:sz w:val="24"/>
        </w:rPr>
      </w:pPr>
      <w:r>
        <w:rPr>
          <w:rFonts w:ascii="宋体" w:hAnsi="宋体" w:cs="宋体"/>
          <w:sz w:val="24"/>
        </w:rPr>
        <w:t>HJ 2547环境标志产品技术要求家具</w:t>
      </w:r>
    </w:p>
    <w:p>
      <w:pPr>
        <w:adjustRightInd w:val="0"/>
        <w:snapToGrid w:val="0"/>
        <w:spacing w:line="360" w:lineRule="auto"/>
        <w:ind w:left="480"/>
        <w:outlineLvl w:val="2"/>
        <w:rPr>
          <w:rFonts w:ascii="宋体" w:hAnsi="宋体" w:cs="宋体"/>
          <w:sz w:val="24"/>
        </w:rPr>
      </w:pPr>
      <w:r>
        <w:rPr>
          <w:rFonts w:ascii="宋体" w:hAnsi="宋体" w:cs="宋体"/>
          <w:sz w:val="24"/>
        </w:rPr>
        <w:t>JC/T 908-2013人造石</w:t>
      </w:r>
    </w:p>
    <w:p>
      <w:pPr>
        <w:adjustRightInd w:val="0"/>
        <w:snapToGrid w:val="0"/>
        <w:spacing w:line="360" w:lineRule="auto"/>
        <w:ind w:left="480"/>
        <w:outlineLvl w:val="2"/>
        <w:rPr>
          <w:rFonts w:ascii="宋体" w:hAnsi="宋体" w:cs="宋体"/>
          <w:sz w:val="24"/>
        </w:rPr>
      </w:pPr>
      <w:r>
        <w:rPr>
          <w:rFonts w:ascii="宋体" w:hAnsi="宋体" w:cs="宋体"/>
          <w:sz w:val="24"/>
        </w:rPr>
        <w:t>JY/T 0374-2004实验室设备电源系统</w:t>
      </w:r>
    </w:p>
    <w:p>
      <w:pPr>
        <w:adjustRightInd w:val="0"/>
        <w:snapToGrid w:val="0"/>
        <w:spacing w:line="360" w:lineRule="auto"/>
        <w:ind w:left="480"/>
        <w:outlineLvl w:val="2"/>
        <w:rPr>
          <w:rFonts w:ascii="宋体" w:hAnsi="宋体" w:cs="宋体"/>
          <w:sz w:val="24"/>
        </w:rPr>
      </w:pPr>
      <w:r>
        <w:rPr>
          <w:rFonts w:ascii="宋体" w:hAnsi="宋体" w:cs="宋体"/>
          <w:sz w:val="24"/>
        </w:rPr>
        <w:t>QB/T 1952.1-2012软体家具沙发</w:t>
      </w:r>
    </w:p>
    <w:p>
      <w:pPr>
        <w:adjustRightInd w:val="0"/>
        <w:snapToGrid w:val="0"/>
        <w:spacing w:line="360" w:lineRule="auto"/>
        <w:ind w:left="480"/>
        <w:outlineLvl w:val="2"/>
        <w:rPr>
          <w:rFonts w:ascii="宋体" w:hAnsi="宋体" w:cs="宋体"/>
          <w:sz w:val="24"/>
        </w:rPr>
      </w:pPr>
      <w:r>
        <w:rPr>
          <w:rFonts w:ascii="宋体" w:hAnsi="宋体" w:cs="宋体"/>
          <w:sz w:val="24"/>
        </w:rPr>
        <w:t>QB/T 2080-2018高回弹软质聚氨酯泡沫塑料</w:t>
      </w:r>
    </w:p>
    <w:p>
      <w:pPr>
        <w:adjustRightInd w:val="0"/>
        <w:snapToGrid w:val="0"/>
        <w:spacing w:line="360" w:lineRule="auto"/>
        <w:ind w:left="480"/>
        <w:outlineLvl w:val="2"/>
        <w:rPr>
          <w:rFonts w:ascii="宋体" w:hAnsi="宋体" w:cs="宋体"/>
          <w:sz w:val="24"/>
        </w:rPr>
      </w:pPr>
      <w:r>
        <w:rPr>
          <w:rFonts w:ascii="宋体" w:hAnsi="宋体" w:cs="宋体"/>
          <w:sz w:val="24"/>
        </w:rPr>
        <w:t>QB/T 2189-2013家具五金杯状暗铰链</w:t>
      </w:r>
    </w:p>
    <w:p>
      <w:pPr>
        <w:adjustRightInd w:val="0"/>
        <w:snapToGrid w:val="0"/>
        <w:spacing w:line="360" w:lineRule="auto"/>
        <w:ind w:left="480"/>
        <w:outlineLvl w:val="2"/>
        <w:rPr>
          <w:rFonts w:ascii="宋体" w:hAnsi="宋体" w:cs="宋体"/>
          <w:sz w:val="24"/>
        </w:rPr>
      </w:pPr>
      <w:r>
        <w:rPr>
          <w:rFonts w:ascii="宋体" w:hAnsi="宋体" w:cs="宋体"/>
          <w:sz w:val="24"/>
        </w:rPr>
        <w:t>QB/T 2280-2016办公家具办公椅</w:t>
      </w:r>
    </w:p>
    <w:p>
      <w:pPr>
        <w:adjustRightInd w:val="0"/>
        <w:snapToGrid w:val="0"/>
        <w:spacing w:line="360" w:lineRule="auto"/>
        <w:ind w:left="480"/>
        <w:outlineLvl w:val="2"/>
        <w:rPr>
          <w:rFonts w:ascii="宋体" w:hAnsi="宋体" w:cs="宋体"/>
          <w:sz w:val="24"/>
        </w:rPr>
      </w:pPr>
      <w:r>
        <w:rPr>
          <w:rFonts w:ascii="宋体" w:hAnsi="宋体" w:cs="宋体"/>
          <w:sz w:val="24"/>
        </w:rPr>
        <w:t>QB/T 2454-2013家具五金抽屉导轨</w:t>
      </w:r>
    </w:p>
    <w:p>
      <w:pPr>
        <w:adjustRightInd w:val="0"/>
        <w:snapToGrid w:val="0"/>
        <w:spacing w:line="360" w:lineRule="auto"/>
        <w:ind w:left="480"/>
        <w:outlineLvl w:val="2"/>
        <w:rPr>
          <w:rFonts w:ascii="宋体" w:hAnsi="宋体" w:cs="宋体"/>
          <w:sz w:val="24"/>
        </w:rPr>
      </w:pPr>
      <w:r>
        <w:rPr>
          <w:rFonts w:ascii="宋体" w:hAnsi="宋体" w:cs="宋体"/>
          <w:sz w:val="24"/>
        </w:rPr>
        <w:t>QB/T 3826-1999轻工产品金属镀层和化学处理层的耐腐蚀试验方法中性盐雾试验(NSS)法</w:t>
      </w:r>
    </w:p>
    <w:p>
      <w:pPr>
        <w:adjustRightInd w:val="0"/>
        <w:snapToGrid w:val="0"/>
        <w:spacing w:line="360" w:lineRule="auto"/>
        <w:ind w:left="480"/>
        <w:outlineLvl w:val="2"/>
        <w:rPr>
          <w:rFonts w:ascii="宋体" w:hAnsi="宋体" w:cs="宋体"/>
          <w:sz w:val="24"/>
        </w:rPr>
      </w:pPr>
      <w:r>
        <w:rPr>
          <w:rFonts w:ascii="宋体" w:hAnsi="宋体" w:cs="宋体"/>
          <w:sz w:val="24"/>
        </w:rPr>
        <w:t>QB/T 3827-1999轻工产品金属镀层和化学处理层的耐腐蚀试验方法乙酸盐雾试验(ASS)法</w:t>
      </w:r>
    </w:p>
    <w:p>
      <w:pPr>
        <w:adjustRightInd w:val="0"/>
        <w:snapToGrid w:val="0"/>
        <w:spacing w:line="360" w:lineRule="auto"/>
        <w:ind w:left="480"/>
        <w:outlineLvl w:val="2"/>
        <w:rPr>
          <w:rFonts w:ascii="宋体" w:hAnsi="宋体" w:cs="宋体"/>
          <w:sz w:val="24"/>
        </w:rPr>
      </w:pPr>
      <w:r>
        <w:rPr>
          <w:rFonts w:ascii="宋体" w:hAnsi="宋体" w:cs="宋体"/>
          <w:sz w:val="24"/>
        </w:rPr>
        <w:t>QB/T 4462-2013软体家具手动折叠沙发</w:t>
      </w:r>
    </w:p>
    <w:p>
      <w:pPr>
        <w:adjustRightInd w:val="0"/>
        <w:snapToGrid w:val="0"/>
        <w:spacing w:line="360" w:lineRule="auto"/>
        <w:ind w:left="480"/>
        <w:outlineLvl w:val="2"/>
        <w:rPr>
          <w:rFonts w:ascii="宋体" w:hAnsi="宋体" w:cs="宋体"/>
          <w:sz w:val="24"/>
        </w:rPr>
      </w:pPr>
      <w:r>
        <w:rPr>
          <w:rFonts w:ascii="宋体" w:hAnsi="宋体" w:cs="宋体"/>
          <w:sz w:val="24"/>
        </w:rPr>
        <w:t>QB/T 4463-2013家具用封边条技术要求</w:t>
      </w:r>
    </w:p>
    <w:p>
      <w:pPr>
        <w:adjustRightInd w:val="0"/>
        <w:snapToGrid w:val="0"/>
        <w:spacing w:line="360" w:lineRule="auto"/>
        <w:ind w:left="480"/>
        <w:outlineLvl w:val="2"/>
        <w:rPr>
          <w:rFonts w:ascii="宋体" w:hAnsi="宋体" w:cs="宋体"/>
          <w:sz w:val="24"/>
        </w:rPr>
      </w:pPr>
      <w:r>
        <w:rPr>
          <w:rFonts w:ascii="宋体" w:hAnsi="宋体" w:cs="宋体"/>
          <w:sz w:val="24"/>
        </w:rPr>
        <w:t>QB/T 4712-2014沙发用聚氨酯合成革</w:t>
      </w:r>
    </w:p>
    <w:p>
      <w:pPr>
        <w:adjustRightInd w:val="0"/>
        <w:snapToGrid w:val="0"/>
        <w:spacing w:line="360" w:lineRule="auto"/>
        <w:ind w:left="480"/>
        <w:outlineLvl w:val="2"/>
        <w:rPr>
          <w:rFonts w:ascii="宋体" w:hAnsi="宋体" w:cs="宋体"/>
          <w:sz w:val="24"/>
        </w:rPr>
      </w:pPr>
      <w:r>
        <w:rPr>
          <w:rFonts w:ascii="宋体" w:hAnsi="宋体" w:cs="宋体"/>
          <w:sz w:val="24"/>
        </w:rPr>
        <w:t>QB/T 4935-2016办公家具屏风桌</w:t>
      </w:r>
    </w:p>
    <w:p>
      <w:pPr>
        <w:adjustRightInd w:val="0"/>
        <w:snapToGrid w:val="0"/>
        <w:spacing w:line="360" w:lineRule="auto"/>
        <w:ind w:left="480"/>
        <w:outlineLvl w:val="2"/>
        <w:rPr>
          <w:rFonts w:hint="eastAsia" w:ascii="宋体" w:hAnsi="宋体" w:cs="宋体"/>
          <w:sz w:val="24"/>
        </w:rPr>
      </w:pPr>
      <w:r>
        <w:rPr>
          <w:rFonts w:ascii="宋体" w:hAnsi="宋体" w:cs="宋体"/>
          <w:sz w:val="24"/>
        </w:rPr>
        <w:t>QB/T 5067-2017家具用聚氯乙烯人造革</w:t>
      </w:r>
    </w:p>
    <w:p>
      <w:pPr>
        <w:adjustRightInd w:val="0"/>
        <w:snapToGrid w:val="0"/>
        <w:spacing w:line="360" w:lineRule="auto"/>
        <w:ind w:left="480"/>
        <w:outlineLvl w:val="2"/>
        <w:rPr>
          <w:rFonts w:hint="eastAsia" w:ascii="宋体" w:hAnsi="宋体" w:cs="宋体"/>
          <w:sz w:val="24"/>
        </w:rPr>
      </w:pPr>
      <w:r>
        <w:rPr>
          <w:rFonts w:hint="eastAsia" w:ascii="宋体" w:hAnsi="宋体" w:cs="宋体"/>
          <w:sz w:val="24"/>
        </w:rPr>
        <w:t>8、配件技术要求</w:t>
      </w:r>
    </w:p>
    <w:tbl>
      <w:tblPr>
        <w:tblStyle w:val="4"/>
        <w:tblW w:w="8663"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4"/>
        <w:gridCol w:w="1276"/>
        <w:gridCol w:w="66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724" w:type="dxa"/>
            <w:shd w:val="clear" w:color="auto" w:fill="auto"/>
            <w:noWrap/>
            <w:vAlign w:val="center"/>
          </w:tcPr>
          <w:p>
            <w:pPr>
              <w:widowControl/>
              <w:jc w:val="center"/>
              <w:rPr>
                <w:rFonts w:ascii="宋体" w:hAnsi="宋体" w:cs="宋体"/>
                <w:bCs/>
                <w:kern w:val="0"/>
                <w:sz w:val="24"/>
              </w:rPr>
            </w:pPr>
            <w:r>
              <w:rPr>
                <w:rFonts w:hint="eastAsia" w:ascii="宋体" w:hAnsi="宋体" w:cs="宋体"/>
                <w:bCs/>
                <w:kern w:val="0"/>
                <w:sz w:val="24"/>
              </w:rPr>
              <w:t>序号</w:t>
            </w:r>
          </w:p>
        </w:tc>
        <w:tc>
          <w:tcPr>
            <w:tcW w:w="1276" w:type="dxa"/>
            <w:shd w:val="clear" w:color="auto" w:fill="auto"/>
            <w:noWrap w:val="0"/>
            <w:vAlign w:val="center"/>
          </w:tcPr>
          <w:p>
            <w:pPr>
              <w:widowControl/>
              <w:jc w:val="center"/>
              <w:rPr>
                <w:rFonts w:ascii="宋体" w:hAnsi="宋体" w:cs="宋体"/>
                <w:bCs/>
                <w:kern w:val="0"/>
                <w:sz w:val="24"/>
              </w:rPr>
            </w:pPr>
            <w:r>
              <w:rPr>
                <w:rFonts w:hint="eastAsia" w:ascii="宋体" w:hAnsi="宋体" w:cs="宋体"/>
                <w:bCs/>
                <w:kern w:val="0"/>
                <w:sz w:val="24"/>
              </w:rPr>
              <w:t>配件名称</w:t>
            </w:r>
          </w:p>
        </w:tc>
        <w:tc>
          <w:tcPr>
            <w:tcW w:w="6663" w:type="dxa"/>
            <w:shd w:val="clear" w:color="auto" w:fill="auto"/>
            <w:noWrap/>
            <w:vAlign w:val="center"/>
          </w:tcPr>
          <w:p>
            <w:pPr>
              <w:widowControl/>
              <w:jc w:val="center"/>
              <w:rPr>
                <w:rFonts w:ascii="宋体" w:hAnsi="宋体" w:cs="宋体"/>
                <w:bCs/>
                <w:kern w:val="0"/>
                <w:sz w:val="24"/>
              </w:rPr>
            </w:pPr>
            <w:r>
              <w:rPr>
                <w:rFonts w:hint="eastAsia" w:ascii="宋体" w:hAnsi="宋体" w:cs="宋体"/>
                <w:bCs/>
                <w:kern w:val="0"/>
                <w:sz w:val="24"/>
              </w:rPr>
              <w:t>材质说明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724"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1</w:t>
            </w:r>
          </w:p>
        </w:tc>
        <w:tc>
          <w:tcPr>
            <w:tcW w:w="1276" w:type="dxa"/>
            <w:shd w:val="clear" w:color="auto" w:fill="auto"/>
            <w:noWrap w:val="0"/>
            <w:vAlign w:val="center"/>
          </w:tcPr>
          <w:p>
            <w:pPr>
              <w:widowControl/>
              <w:jc w:val="center"/>
              <w:rPr>
                <w:rFonts w:ascii="宋体" w:hAnsi="宋体" w:cs="宋体"/>
                <w:kern w:val="0"/>
                <w:sz w:val="24"/>
              </w:rPr>
            </w:pPr>
            <w:r>
              <w:rPr>
                <w:rFonts w:hint="eastAsia" w:ascii="宋体" w:hAnsi="宋体" w:cs="宋体"/>
                <w:kern w:val="0"/>
                <w:sz w:val="24"/>
              </w:rPr>
              <w:t>防火板/三聚氰胺饰面复合板</w:t>
            </w:r>
          </w:p>
        </w:tc>
        <w:tc>
          <w:tcPr>
            <w:tcW w:w="6663" w:type="dxa"/>
            <w:shd w:val="clear" w:color="auto" w:fill="auto"/>
            <w:noWrap w:val="0"/>
            <w:vAlign w:val="center"/>
          </w:tcPr>
          <w:p>
            <w:pPr>
              <w:widowControl/>
              <w:jc w:val="left"/>
              <w:rPr>
                <w:rFonts w:ascii="宋体" w:hAnsi="宋体" w:cs="宋体"/>
                <w:kern w:val="0"/>
                <w:sz w:val="24"/>
              </w:rPr>
            </w:pPr>
            <w:r>
              <w:rPr>
                <w:rFonts w:hint="eastAsia" w:ascii="宋体" w:hAnsi="宋体" w:cs="宋体"/>
                <w:kern w:val="0"/>
                <w:sz w:val="24"/>
              </w:rPr>
              <w:t>1、基材：采用优质的中密度纤维板或刨花板；</w:t>
            </w:r>
            <w:r>
              <w:rPr>
                <w:rFonts w:hint="eastAsia" w:ascii="宋体" w:hAnsi="宋体" w:cs="宋体"/>
                <w:kern w:val="0"/>
                <w:sz w:val="24"/>
              </w:rPr>
              <w:br w:type="textWrapping"/>
            </w:r>
            <w:r>
              <w:rPr>
                <w:rFonts w:hint="eastAsia" w:ascii="宋体" w:hAnsi="宋体" w:cs="宋体"/>
                <w:kern w:val="0"/>
                <w:sz w:val="24"/>
              </w:rPr>
              <w:t>2、面材：采用优质的环保三聚氰胺板渍胶纸；</w:t>
            </w:r>
            <w:r>
              <w:rPr>
                <w:rFonts w:hint="eastAsia" w:ascii="宋体" w:hAnsi="宋体" w:cs="宋体"/>
                <w:kern w:val="0"/>
                <w:sz w:val="24"/>
              </w:rPr>
              <w:br w:type="textWrapping"/>
            </w:r>
            <w:r>
              <w:rPr>
                <w:rFonts w:hint="eastAsia" w:ascii="宋体" w:hAnsi="宋体" w:cs="宋体"/>
                <w:kern w:val="0"/>
                <w:sz w:val="24"/>
              </w:rPr>
              <w:t>3、木板封边：采用优质的同色PVC封边条，封条厚度≥2.0mm。采用优质的环保胶水，全自动封边工艺，严密、平整、无脱胶、表面无露胶；</w:t>
            </w:r>
            <w:r>
              <w:rPr>
                <w:rFonts w:hint="eastAsia" w:ascii="宋体" w:hAnsi="宋体" w:cs="宋体"/>
                <w:kern w:val="0"/>
                <w:sz w:val="24"/>
              </w:rPr>
              <w:br w:type="textWrapping"/>
            </w:r>
            <w:r>
              <w:rPr>
                <w:rFonts w:hint="eastAsia" w:ascii="宋体" w:hAnsi="宋体" w:cs="宋体"/>
                <w:kern w:val="0"/>
                <w:sz w:val="24"/>
              </w:rPr>
              <w:t>4、环保要求：甲醛释放量≤0.05mg/m³ （GB 18580-2017）；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2" w:hRule="atLeast"/>
        </w:trPr>
        <w:tc>
          <w:tcPr>
            <w:tcW w:w="724"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2</w:t>
            </w:r>
          </w:p>
        </w:tc>
        <w:tc>
          <w:tcPr>
            <w:tcW w:w="1276"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实木饰面复合板</w:t>
            </w:r>
          </w:p>
        </w:tc>
        <w:tc>
          <w:tcPr>
            <w:tcW w:w="6663" w:type="dxa"/>
            <w:shd w:val="clear" w:color="auto" w:fill="auto"/>
            <w:noWrap w:val="0"/>
            <w:vAlign w:val="center"/>
          </w:tcPr>
          <w:p>
            <w:pPr>
              <w:widowControl/>
              <w:jc w:val="left"/>
              <w:rPr>
                <w:rFonts w:ascii="宋体" w:hAnsi="宋体" w:cs="宋体"/>
                <w:kern w:val="0"/>
                <w:sz w:val="24"/>
              </w:rPr>
            </w:pPr>
            <w:r>
              <w:rPr>
                <w:rFonts w:hint="eastAsia" w:ascii="宋体" w:hAnsi="宋体" w:cs="宋体"/>
                <w:kern w:val="0"/>
                <w:sz w:val="24"/>
              </w:rPr>
              <w:t>1、基材：采用优质的中密度纤维板或刨花板；</w:t>
            </w:r>
            <w:r>
              <w:rPr>
                <w:rFonts w:hint="eastAsia" w:ascii="宋体" w:hAnsi="宋体" w:cs="宋体"/>
                <w:kern w:val="0"/>
                <w:sz w:val="24"/>
              </w:rPr>
              <w:br w:type="textWrapping"/>
            </w:r>
            <w:r>
              <w:rPr>
                <w:rFonts w:hint="eastAsia" w:ascii="宋体" w:hAnsi="宋体" w:cs="宋体"/>
                <w:kern w:val="0"/>
                <w:sz w:val="24"/>
              </w:rPr>
              <w:t>2、面材：采用优质天然实木皮，木皮厚度≥0.6mm；</w:t>
            </w:r>
            <w:r>
              <w:rPr>
                <w:rFonts w:hint="eastAsia" w:ascii="宋体" w:hAnsi="宋体" w:cs="宋体"/>
                <w:kern w:val="0"/>
                <w:sz w:val="24"/>
              </w:rPr>
              <w:br w:type="textWrapping"/>
            </w:r>
            <w:r>
              <w:rPr>
                <w:rFonts w:hint="eastAsia" w:ascii="宋体" w:hAnsi="宋体" w:cs="宋体"/>
                <w:kern w:val="0"/>
                <w:sz w:val="24"/>
              </w:rPr>
              <w:t>3、木板封边：采用优质的同色实木皮或实木条封边，颜色均匀平整。采用优质的环保胶水，全自动封边工艺，严密、平整、无脱胶、表面无露胶；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724"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3</w:t>
            </w:r>
          </w:p>
        </w:tc>
        <w:tc>
          <w:tcPr>
            <w:tcW w:w="1276"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理化板</w:t>
            </w:r>
          </w:p>
        </w:tc>
        <w:tc>
          <w:tcPr>
            <w:tcW w:w="6663" w:type="dxa"/>
            <w:shd w:val="clear" w:color="auto" w:fill="auto"/>
            <w:noWrap w:val="0"/>
            <w:vAlign w:val="center"/>
          </w:tcPr>
          <w:p>
            <w:pPr>
              <w:widowControl/>
              <w:jc w:val="left"/>
              <w:rPr>
                <w:rFonts w:ascii="宋体" w:hAnsi="宋体" w:cs="宋体"/>
                <w:kern w:val="0"/>
                <w:sz w:val="24"/>
              </w:rPr>
            </w:pPr>
            <w:r>
              <w:rPr>
                <w:rFonts w:hint="eastAsia" w:ascii="宋体" w:hAnsi="宋体" w:cs="宋体"/>
                <w:kern w:val="0"/>
                <w:sz w:val="24"/>
              </w:rPr>
              <w:t>1、优质实芯理化板，厚度≥12.7mm，台面边缘厚度≥25.4mm；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724"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4</w:t>
            </w:r>
          </w:p>
        </w:tc>
        <w:tc>
          <w:tcPr>
            <w:tcW w:w="1276"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实木板</w:t>
            </w:r>
          </w:p>
        </w:tc>
        <w:tc>
          <w:tcPr>
            <w:tcW w:w="6663" w:type="dxa"/>
            <w:shd w:val="clear" w:color="auto" w:fill="auto"/>
            <w:noWrap/>
            <w:vAlign w:val="center"/>
          </w:tcPr>
          <w:p>
            <w:pPr>
              <w:widowControl/>
              <w:jc w:val="left"/>
              <w:rPr>
                <w:rFonts w:ascii="宋体" w:hAnsi="宋体" w:cs="宋体"/>
                <w:kern w:val="0"/>
                <w:sz w:val="24"/>
              </w:rPr>
            </w:pPr>
            <w:r>
              <w:rPr>
                <w:rFonts w:hint="eastAsia" w:ascii="宋体" w:hAnsi="宋体" w:cs="宋体"/>
                <w:kern w:val="0"/>
                <w:sz w:val="24"/>
              </w:rPr>
              <w:t>1、采用完整的木材（原木）制成的木板材，厚度</w:t>
            </w:r>
            <w:r>
              <w:rPr>
                <w:rFonts w:ascii="宋体" w:hAnsi="宋体" w:cs="Arial"/>
                <w:kern w:val="0"/>
                <w:sz w:val="24"/>
              </w:rPr>
              <w:t>≥14mm</w:t>
            </w:r>
            <w:r>
              <w:rPr>
                <w:rFonts w:hint="eastAsia" w:ascii="宋体" w:hAnsi="宋体" w:cs="宋体"/>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0" w:hRule="atLeast"/>
        </w:trPr>
        <w:tc>
          <w:tcPr>
            <w:tcW w:w="724"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5</w:t>
            </w:r>
          </w:p>
        </w:tc>
        <w:tc>
          <w:tcPr>
            <w:tcW w:w="1276"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金属屏风</w:t>
            </w:r>
          </w:p>
        </w:tc>
        <w:tc>
          <w:tcPr>
            <w:tcW w:w="6663" w:type="dxa"/>
            <w:shd w:val="clear" w:color="auto" w:fill="auto"/>
            <w:noWrap w:val="0"/>
            <w:vAlign w:val="center"/>
          </w:tcPr>
          <w:p>
            <w:pPr>
              <w:widowControl/>
              <w:jc w:val="left"/>
              <w:rPr>
                <w:rFonts w:ascii="宋体" w:hAnsi="宋体" w:cs="宋体"/>
                <w:kern w:val="0"/>
                <w:sz w:val="24"/>
              </w:rPr>
            </w:pPr>
            <w:r>
              <w:rPr>
                <w:rFonts w:hint="eastAsia" w:ascii="宋体" w:hAnsi="宋体" w:cs="宋体"/>
                <w:kern w:val="0"/>
                <w:sz w:val="24"/>
              </w:rPr>
              <w:t>1、框架：采用优质的铝合金或一级冷轧钢框架，裸板壁厚≥1.2mm，其抗拉强度≥160Mpa；</w:t>
            </w:r>
            <w:r>
              <w:rPr>
                <w:rFonts w:hint="eastAsia" w:ascii="宋体" w:hAnsi="宋体" w:cs="宋体"/>
                <w:kern w:val="0"/>
                <w:sz w:val="24"/>
              </w:rPr>
              <w:br w:type="textWrapping"/>
            </w:r>
            <w:r>
              <w:rPr>
                <w:rFonts w:hint="eastAsia" w:ascii="宋体" w:hAnsi="宋体" w:cs="宋体"/>
                <w:kern w:val="0"/>
                <w:sz w:val="24"/>
              </w:rPr>
              <w:t>2、面板：采用优质的一级冷轧钢板，裸板壁厚≥0.8mm。钢板并经酸洗、磷化、纯化等防锈工序前处理；</w:t>
            </w:r>
            <w:r>
              <w:rPr>
                <w:rFonts w:hint="eastAsia" w:ascii="宋体" w:hAnsi="宋体" w:cs="宋体"/>
                <w:kern w:val="0"/>
                <w:sz w:val="24"/>
              </w:rPr>
              <w:br w:type="textWrapping"/>
            </w:r>
            <w:r>
              <w:rPr>
                <w:rFonts w:hint="eastAsia" w:ascii="宋体" w:hAnsi="宋体" w:cs="宋体"/>
                <w:kern w:val="0"/>
                <w:sz w:val="24"/>
              </w:rPr>
              <w:t>3、表面喷涂：采用优质的抑菌粉末全自动涂装，涂漆均匀，附着力极佳，涂漆厚度≥60um，喷涂硬度＞2H，坚固耐用：</w:t>
            </w:r>
            <w:r>
              <w:rPr>
                <w:rFonts w:hint="eastAsia" w:ascii="宋体" w:hAnsi="宋体" w:cs="宋体"/>
                <w:kern w:val="0"/>
                <w:sz w:val="24"/>
              </w:rPr>
              <w:br w:type="textWrapping"/>
            </w:r>
            <w:r>
              <w:rPr>
                <w:rFonts w:hint="eastAsia" w:ascii="宋体" w:hAnsi="宋体" w:cs="宋体"/>
                <w:kern w:val="0"/>
                <w:sz w:val="24"/>
              </w:rPr>
              <w:t>3、内结构：钢板+筋焊接，内无填芯料。内部可任意开孔走线，且强弱电分离走线，保证安全性，屏风要满足至少24根弱电线路的过线，需要整个屏风面板均可过线。</w:t>
            </w:r>
            <w:r>
              <w:rPr>
                <w:rFonts w:hint="eastAsia" w:ascii="宋体" w:hAnsi="宋体" w:cs="宋体"/>
                <w:kern w:val="0"/>
                <w:sz w:val="24"/>
              </w:rPr>
              <w:br w:type="textWrapping"/>
            </w:r>
            <w:r>
              <w:rPr>
                <w:rFonts w:hint="eastAsia" w:ascii="宋体" w:hAnsi="宋体" w:cs="宋体"/>
                <w:kern w:val="0"/>
                <w:sz w:val="24"/>
              </w:rPr>
              <w:t>4、屏风链接：厚屏与薄屏采用优质铝合金转接柱相接，以凸点钢板或平钢板（含彩色钢板）相结合；</w:t>
            </w:r>
            <w:r>
              <w:rPr>
                <w:rFonts w:hint="eastAsia" w:ascii="宋体" w:hAnsi="宋体" w:cs="宋体"/>
                <w:kern w:val="0"/>
                <w:sz w:val="24"/>
              </w:rPr>
              <w:br w:type="textWrapping"/>
            </w:r>
            <w:r>
              <w:rPr>
                <w:rFonts w:hint="eastAsia" w:ascii="宋体" w:hAnsi="宋体" w:cs="宋体"/>
                <w:kern w:val="0"/>
                <w:sz w:val="24"/>
              </w:rPr>
              <w:t>5、其他：桌面以上可采用布包板或磨砂玻工艺；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724"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6</w:t>
            </w:r>
          </w:p>
        </w:tc>
        <w:tc>
          <w:tcPr>
            <w:tcW w:w="1276" w:type="dxa"/>
            <w:shd w:val="clear" w:color="auto" w:fill="auto"/>
            <w:noWrap w:val="0"/>
            <w:vAlign w:val="center"/>
          </w:tcPr>
          <w:p>
            <w:pPr>
              <w:widowControl/>
              <w:jc w:val="center"/>
              <w:rPr>
                <w:rFonts w:ascii="宋体" w:hAnsi="宋体" w:cs="宋体"/>
                <w:kern w:val="0"/>
                <w:sz w:val="24"/>
              </w:rPr>
            </w:pPr>
            <w:r>
              <w:rPr>
                <w:rFonts w:hint="eastAsia" w:ascii="宋体" w:hAnsi="宋体" w:cs="宋体"/>
                <w:kern w:val="0"/>
                <w:sz w:val="24"/>
              </w:rPr>
              <w:t>喷涂冷轧钢板/钢管</w:t>
            </w:r>
          </w:p>
        </w:tc>
        <w:tc>
          <w:tcPr>
            <w:tcW w:w="6663" w:type="dxa"/>
            <w:shd w:val="clear" w:color="auto" w:fill="auto"/>
            <w:noWrap w:val="0"/>
            <w:vAlign w:val="center"/>
          </w:tcPr>
          <w:p>
            <w:pPr>
              <w:widowControl/>
              <w:jc w:val="left"/>
              <w:rPr>
                <w:rFonts w:ascii="宋体" w:hAnsi="宋体" w:cs="宋体"/>
                <w:kern w:val="0"/>
                <w:sz w:val="24"/>
              </w:rPr>
            </w:pPr>
            <w:r>
              <w:rPr>
                <w:rFonts w:hint="eastAsia" w:ascii="宋体" w:hAnsi="宋体" w:cs="宋体"/>
                <w:kern w:val="0"/>
                <w:sz w:val="24"/>
              </w:rPr>
              <w:t>1、基材：采用优质的一级冷轧钢板，钢板厚度≥1.0mm，桌脚厚度≥1.2mm，椅脚φ≥1.8mm，经除油、磷化、硅烷化等防锈处理；</w:t>
            </w:r>
            <w:r>
              <w:rPr>
                <w:rFonts w:hint="eastAsia" w:ascii="宋体" w:hAnsi="宋体" w:cs="宋体"/>
                <w:kern w:val="0"/>
                <w:sz w:val="24"/>
              </w:rPr>
              <w:br w:type="textWrapping"/>
            </w:r>
            <w:r>
              <w:rPr>
                <w:rFonts w:hint="eastAsia" w:ascii="宋体" w:hAnsi="宋体" w:cs="宋体"/>
                <w:kern w:val="0"/>
                <w:sz w:val="24"/>
              </w:rPr>
              <w:t>2、表面喷涂：采用优质的抑菌粉末全自动涂装，涂漆均匀，附着力极佳，涂漆厚度≥60um，喷涂硬度＞2H，坚固耐用：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724"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7</w:t>
            </w:r>
          </w:p>
        </w:tc>
        <w:tc>
          <w:tcPr>
            <w:tcW w:w="1276" w:type="dxa"/>
            <w:shd w:val="clear" w:color="auto" w:fill="auto"/>
            <w:noWrap w:val="0"/>
            <w:vAlign w:val="center"/>
          </w:tcPr>
          <w:p>
            <w:pPr>
              <w:widowControl/>
              <w:jc w:val="center"/>
              <w:rPr>
                <w:rFonts w:ascii="宋体" w:hAnsi="宋体" w:cs="宋体"/>
                <w:kern w:val="0"/>
                <w:sz w:val="24"/>
              </w:rPr>
            </w:pPr>
            <w:r>
              <w:rPr>
                <w:rFonts w:hint="eastAsia" w:ascii="宋体" w:hAnsi="宋体" w:cs="宋体"/>
                <w:kern w:val="0"/>
                <w:sz w:val="24"/>
              </w:rPr>
              <w:t>喷涂电解钢板/钢管</w:t>
            </w:r>
          </w:p>
        </w:tc>
        <w:tc>
          <w:tcPr>
            <w:tcW w:w="6663" w:type="dxa"/>
            <w:shd w:val="clear" w:color="auto" w:fill="auto"/>
            <w:noWrap w:val="0"/>
            <w:vAlign w:val="center"/>
          </w:tcPr>
          <w:p>
            <w:pPr>
              <w:widowControl/>
              <w:jc w:val="left"/>
              <w:rPr>
                <w:rFonts w:ascii="宋体" w:hAnsi="宋体" w:cs="宋体"/>
                <w:kern w:val="0"/>
                <w:sz w:val="24"/>
              </w:rPr>
            </w:pPr>
            <w:r>
              <w:rPr>
                <w:rFonts w:hint="eastAsia" w:ascii="宋体" w:hAnsi="宋体" w:cs="宋体"/>
                <w:kern w:val="0"/>
                <w:sz w:val="24"/>
              </w:rPr>
              <w:t>1、基材：采用优质的一级电解钢板，钢板厚度≥1.0mm，桌脚厚度≥1.2mm，椅脚φ≥1.8mm，经除油、磷化、硅烷化等防锈处理；</w:t>
            </w:r>
            <w:r>
              <w:rPr>
                <w:rFonts w:hint="eastAsia" w:ascii="宋体" w:hAnsi="宋体" w:cs="宋体"/>
                <w:kern w:val="0"/>
                <w:sz w:val="24"/>
              </w:rPr>
              <w:br w:type="textWrapping"/>
            </w:r>
            <w:r>
              <w:rPr>
                <w:rFonts w:hint="eastAsia" w:ascii="宋体" w:hAnsi="宋体" w:cs="宋体"/>
                <w:kern w:val="0"/>
                <w:sz w:val="24"/>
              </w:rPr>
              <w:t>2、表面喷涂：采用优质的抑菌粉末全自动涂装，涂漆均匀，附着力极佳，涂漆厚度≥60um，喷涂硬度＞2H，坚固耐用：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724"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8</w:t>
            </w:r>
          </w:p>
        </w:tc>
        <w:tc>
          <w:tcPr>
            <w:tcW w:w="1276"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不锈钢板/钢管</w:t>
            </w:r>
          </w:p>
        </w:tc>
        <w:tc>
          <w:tcPr>
            <w:tcW w:w="6663" w:type="dxa"/>
            <w:shd w:val="clear" w:color="auto" w:fill="auto"/>
            <w:noWrap w:val="0"/>
            <w:vAlign w:val="center"/>
          </w:tcPr>
          <w:p>
            <w:pPr>
              <w:widowControl/>
              <w:jc w:val="left"/>
              <w:rPr>
                <w:rFonts w:ascii="宋体" w:hAnsi="宋体" w:cs="宋体"/>
                <w:kern w:val="0"/>
                <w:sz w:val="24"/>
              </w:rPr>
            </w:pPr>
            <w:r>
              <w:rPr>
                <w:rFonts w:hint="eastAsia" w:ascii="宋体" w:hAnsi="宋体" w:cs="宋体"/>
                <w:kern w:val="0"/>
                <w:sz w:val="24"/>
              </w:rPr>
              <w:t>1、基材：采用优质的一级不锈钢板，钢板厚度≥1.0mm，不锈钢等级标号≥304。表面经24h的中性盐雾试验（QB/T3826-1999）后，外观评级≥9级；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24"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9</w:t>
            </w:r>
          </w:p>
        </w:tc>
        <w:tc>
          <w:tcPr>
            <w:tcW w:w="1276" w:type="dxa"/>
            <w:shd w:val="clear" w:color="auto" w:fill="auto"/>
            <w:noWrap w:val="0"/>
            <w:vAlign w:val="center"/>
          </w:tcPr>
          <w:p>
            <w:pPr>
              <w:widowControl/>
              <w:jc w:val="center"/>
              <w:rPr>
                <w:rFonts w:ascii="宋体" w:hAnsi="宋体" w:cs="宋体"/>
                <w:kern w:val="0"/>
                <w:sz w:val="24"/>
              </w:rPr>
            </w:pPr>
            <w:r>
              <w:rPr>
                <w:rFonts w:hint="eastAsia" w:ascii="宋体" w:hAnsi="宋体" w:cs="宋体"/>
                <w:kern w:val="0"/>
                <w:sz w:val="24"/>
              </w:rPr>
              <w:t>超纤皮/超细纤维PU合成革饰面</w:t>
            </w:r>
          </w:p>
        </w:tc>
        <w:tc>
          <w:tcPr>
            <w:tcW w:w="6663" w:type="dxa"/>
            <w:shd w:val="clear" w:color="auto" w:fill="auto"/>
            <w:noWrap w:val="0"/>
            <w:vAlign w:val="center"/>
          </w:tcPr>
          <w:p>
            <w:pPr>
              <w:widowControl/>
              <w:jc w:val="left"/>
              <w:rPr>
                <w:rFonts w:ascii="宋体" w:hAnsi="宋体" w:cs="宋体"/>
                <w:kern w:val="0"/>
                <w:sz w:val="24"/>
              </w:rPr>
            </w:pPr>
            <w:r>
              <w:rPr>
                <w:rFonts w:hint="eastAsia" w:ascii="宋体" w:hAnsi="宋体" w:cs="宋体"/>
                <w:kern w:val="0"/>
                <w:sz w:val="24"/>
              </w:rPr>
              <w:t>1、基材：皮质厚度≥1.2mm；</w:t>
            </w:r>
            <w:r>
              <w:rPr>
                <w:rFonts w:hint="eastAsia" w:ascii="宋体" w:hAnsi="宋体" w:cs="宋体"/>
                <w:kern w:val="0"/>
                <w:sz w:val="24"/>
              </w:rPr>
              <w:br w:type="textWrapping"/>
            </w:r>
            <w:r>
              <w:rPr>
                <w:rFonts w:hint="eastAsia" w:ascii="宋体" w:hAnsi="宋体" w:cs="宋体"/>
                <w:kern w:val="0"/>
                <w:sz w:val="24"/>
              </w:rPr>
              <w:t>2、表面处理：经过防火、防污、抗菌、抗静电、耐色牢度、抗强度等11项表面加工处理；</w:t>
            </w:r>
            <w:r>
              <w:rPr>
                <w:rFonts w:hint="eastAsia" w:ascii="宋体" w:hAnsi="宋体" w:cs="宋体"/>
                <w:kern w:val="0"/>
                <w:sz w:val="24"/>
              </w:rPr>
              <w:br w:type="textWrapping"/>
            </w:r>
            <w:r>
              <w:rPr>
                <w:rFonts w:hint="eastAsia" w:ascii="宋体" w:hAnsi="宋体" w:cs="宋体"/>
                <w:kern w:val="0"/>
                <w:sz w:val="24"/>
              </w:rPr>
              <w:t>3、软包厚度≥50mm；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24"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10</w:t>
            </w:r>
          </w:p>
        </w:tc>
        <w:tc>
          <w:tcPr>
            <w:tcW w:w="1276" w:type="dxa"/>
            <w:shd w:val="clear" w:color="auto" w:fill="auto"/>
            <w:noWrap w:val="0"/>
            <w:vAlign w:val="center"/>
          </w:tcPr>
          <w:p>
            <w:pPr>
              <w:widowControl/>
              <w:jc w:val="center"/>
              <w:rPr>
                <w:rFonts w:ascii="宋体" w:hAnsi="宋体" w:cs="宋体"/>
                <w:kern w:val="0"/>
                <w:sz w:val="24"/>
              </w:rPr>
            </w:pPr>
            <w:r>
              <w:rPr>
                <w:rFonts w:hint="eastAsia" w:ascii="宋体" w:hAnsi="宋体" w:cs="宋体"/>
                <w:kern w:val="0"/>
                <w:sz w:val="24"/>
              </w:rPr>
              <w:t>真皮饰面</w:t>
            </w:r>
          </w:p>
        </w:tc>
        <w:tc>
          <w:tcPr>
            <w:tcW w:w="6663" w:type="dxa"/>
            <w:shd w:val="clear" w:color="auto" w:fill="auto"/>
            <w:noWrap w:val="0"/>
            <w:vAlign w:val="center"/>
          </w:tcPr>
          <w:p>
            <w:pPr>
              <w:widowControl/>
              <w:jc w:val="left"/>
              <w:rPr>
                <w:rFonts w:ascii="宋体" w:hAnsi="宋体" w:cs="宋体"/>
                <w:kern w:val="0"/>
                <w:sz w:val="24"/>
              </w:rPr>
            </w:pPr>
            <w:r>
              <w:rPr>
                <w:rFonts w:hint="eastAsia" w:ascii="宋体" w:hAnsi="宋体" w:cs="宋体"/>
                <w:kern w:val="0"/>
                <w:sz w:val="24"/>
              </w:rPr>
              <w:t>1、优质头层牛皮，耐磨性强、透气性好；</w:t>
            </w:r>
            <w:r>
              <w:rPr>
                <w:rFonts w:hint="eastAsia" w:ascii="宋体" w:hAnsi="宋体" w:cs="宋体"/>
                <w:kern w:val="0"/>
                <w:sz w:val="24"/>
              </w:rPr>
              <w:br w:type="textWrapping"/>
            </w:r>
            <w:r>
              <w:rPr>
                <w:rFonts w:hint="eastAsia" w:ascii="宋体" w:hAnsi="宋体" w:cs="宋体"/>
                <w:kern w:val="0"/>
                <w:sz w:val="24"/>
              </w:rPr>
              <w:t>2、经防虫、防腐、分层、鞣制等数十道专业工序处理；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24"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11</w:t>
            </w:r>
          </w:p>
        </w:tc>
        <w:tc>
          <w:tcPr>
            <w:tcW w:w="1276" w:type="dxa"/>
            <w:shd w:val="clear" w:color="auto" w:fill="auto"/>
            <w:noWrap w:val="0"/>
            <w:vAlign w:val="center"/>
          </w:tcPr>
          <w:p>
            <w:pPr>
              <w:widowControl/>
              <w:jc w:val="center"/>
              <w:rPr>
                <w:rFonts w:ascii="宋体" w:hAnsi="宋体" w:cs="宋体"/>
                <w:kern w:val="0"/>
                <w:sz w:val="24"/>
              </w:rPr>
            </w:pPr>
            <w:r>
              <w:rPr>
                <w:rFonts w:hint="eastAsia" w:ascii="宋体" w:hAnsi="宋体" w:cs="宋体"/>
                <w:kern w:val="0"/>
                <w:sz w:val="24"/>
              </w:rPr>
              <w:t>环保布/网格布</w:t>
            </w:r>
          </w:p>
        </w:tc>
        <w:tc>
          <w:tcPr>
            <w:tcW w:w="6663" w:type="dxa"/>
            <w:shd w:val="clear" w:color="auto" w:fill="auto"/>
            <w:noWrap w:val="0"/>
            <w:vAlign w:val="center"/>
          </w:tcPr>
          <w:p>
            <w:pPr>
              <w:widowControl/>
              <w:jc w:val="left"/>
              <w:rPr>
                <w:rFonts w:ascii="宋体" w:hAnsi="宋体" w:cs="宋体"/>
                <w:kern w:val="0"/>
                <w:sz w:val="24"/>
              </w:rPr>
            </w:pPr>
            <w:r>
              <w:rPr>
                <w:rFonts w:hint="eastAsia" w:ascii="宋体" w:hAnsi="宋体" w:cs="宋体"/>
                <w:kern w:val="0"/>
                <w:sz w:val="24"/>
              </w:rPr>
              <w:t>1、优质环保布/网格布；</w:t>
            </w:r>
            <w:r>
              <w:rPr>
                <w:rFonts w:hint="eastAsia" w:ascii="宋体" w:hAnsi="宋体" w:cs="宋体"/>
                <w:kern w:val="0"/>
                <w:sz w:val="24"/>
              </w:rPr>
              <w:br w:type="textWrapping"/>
            </w:r>
            <w:r>
              <w:rPr>
                <w:rFonts w:hint="eastAsia" w:ascii="宋体" w:hAnsi="宋体" w:cs="宋体"/>
                <w:kern w:val="0"/>
                <w:sz w:val="24"/>
              </w:rPr>
              <w:t>2、耐磨性≥25000转（GB/T 19817-2005）；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724"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12</w:t>
            </w:r>
          </w:p>
        </w:tc>
        <w:tc>
          <w:tcPr>
            <w:tcW w:w="1276"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油漆工艺</w:t>
            </w:r>
          </w:p>
        </w:tc>
        <w:tc>
          <w:tcPr>
            <w:tcW w:w="6663" w:type="dxa"/>
            <w:shd w:val="clear" w:color="auto" w:fill="auto"/>
            <w:noWrap w:val="0"/>
            <w:vAlign w:val="center"/>
          </w:tcPr>
          <w:p>
            <w:pPr>
              <w:widowControl/>
              <w:jc w:val="left"/>
              <w:rPr>
                <w:rFonts w:ascii="宋体" w:hAnsi="宋体" w:cs="宋体"/>
                <w:kern w:val="0"/>
                <w:sz w:val="24"/>
              </w:rPr>
            </w:pPr>
            <w:r>
              <w:rPr>
                <w:rFonts w:hint="eastAsia" w:ascii="宋体" w:hAnsi="宋体" w:cs="宋体"/>
                <w:kern w:val="0"/>
                <w:sz w:val="24"/>
              </w:rPr>
              <w:t>1、采用环保无溶剂水性漆；</w:t>
            </w:r>
            <w:r>
              <w:rPr>
                <w:rFonts w:hint="eastAsia" w:ascii="宋体" w:hAnsi="宋体" w:cs="宋体"/>
                <w:kern w:val="0"/>
                <w:sz w:val="24"/>
              </w:rPr>
              <w:br w:type="textWrapping"/>
            </w:r>
            <w:r>
              <w:rPr>
                <w:rFonts w:hint="eastAsia" w:ascii="宋体" w:hAnsi="宋体" w:cs="宋体"/>
                <w:kern w:val="0"/>
                <w:sz w:val="24"/>
              </w:rPr>
              <w:t>2、封闭/开放式涂装工艺：UV底 （封闭式）/水性底（开放式）+打磨+水性修色+水性UV面漆，5底3面工艺；</w:t>
            </w:r>
            <w:r>
              <w:rPr>
                <w:rFonts w:hint="eastAsia" w:ascii="宋体" w:hAnsi="宋体" w:cs="宋体"/>
                <w:kern w:val="0"/>
                <w:sz w:val="24"/>
              </w:rPr>
              <w:br w:type="textWrapping"/>
            </w:r>
            <w:r>
              <w:rPr>
                <w:rFonts w:hint="eastAsia" w:ascii="宋体" w:hAnsi="宋体" w:cs="宋体"/>
                <w:kern w:val="0"/>
                <w:sz w:val="24"/>
              </w:rPr>
              <w:t>3、环保要求：游离甲醛含量≤80mg/kg，挥发性有机化合物≤240g/L（GB 24410-2009）；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724"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13</w:t>
            </w:r>
          </w:p>
        </w:tc>
        <w:tc>
          <w:tcPr>
            <w:tcW w:w="1276"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导轨</w:t>
            </w:r>
          </w:p>
        </w:tc>
        <w:tc>
          <w:tcPr>
            <w:tcW w:w="6663" w:type="dxa"/>
            <w:shd w:val="clear" w:color="auto" w:fill="auto"/>
            <w:noWrap w:val="0"/>
            <w:vAlign w:val="center"/>
          </w:tcPr>
          <w:p>
            <w:pPr>
              <w:widowControl/>
              <w:jc w:val="left"/>
              <w:rPr>
                <w:rFonts w:ascii="宋体" w:hAnsi="宋体" w:cs="宋体"/>
                <w:kern w:val="0"/>
                <w:sz w:val="24"/>
              </w:rPr>
            </w:pPr>
            <w:r>
              <w:rPr>
                <w:rFonts w:hint="eastAsia" w:ascii="宋体" w:hAnsi="宋体" w:cs="宋体"/>
                <w:kern w:val="0"/>
                <w:sz w:val="24"/>
              </w:rPr>
              <w:t>1、阻尼三节滚珠静音滑轨，有自回收设计，耐久性试验≥80000次 (QB/T 2189-2013）；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724"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14</w:t>
            </w:r>
          </w:p>
        </w:tc>
        <w:tc>
          <w:tcPr>
            <w:tcW w:w="1276"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铰链</w:t>
            </w:r>
          </w:p>
        </w:tc>
        <w:tc>
          <w:tcPr>
            <w:tcW w:w="6663" w:type="dxa"/>
            <w:shd w:val="clear" w:color="auto" w:fill="auto"/>
            <w:noWrap/>
            <w:vAlign w:val="center"/>
          </w:tcPr>
          <w:p>
            <w:pPr>
              <w:widowControl/>
              <w:jc w:val="left"/>
              <w:rPr>
                <w:rFonts w:ascii="宋体" w:hAnsi="宋体" w:cs="宋体"/>
                <w:kern w:val="0"/>
                <w:sz w:val="24"/>
              </w:rPr>
            </w:pPr>
            <w:r>
              <w:rPr>
                <w:rFonts w:hint="eastAsia" w:ascii="宋体" w:hAnsi="宋体" w:cs="宋体"/>
                <w:kern w:val="0"/>
                <w:sz w:val="24"/>
              </w:rPr>
              <w:t>1、阻尼静音铰链，耐久性试验≥80000次（ QB/T 2454-2013 )。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24"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15</w:t>
            </w:r>
          </w:p>
        </w:tc>
        <w:tc>
          <w:tcPr>
            <w:tcW w:w="1276"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锁具</w:t>
            </w:r>
          </w:p>
        </w:tc>
        <w:tc>
          <w:tcPr>
            <w:tcW w:w="6663" w:type="dxa"/>
            <w:shd w:val="clear" w:color="auto" w:fill="auto"/>
            <w:noWrap w:val="0"/>
            <w:vAlign w:val="center"/>
          </w:tcPr>
          <w:p>
            <w:pPr>
              <w:widowControl/>
              <w:jc w:val="left"/>
              <w:rPr>
                <w:rFonts w:ascii="宋体" w:hAnsi="宋体" w:cs="宋体"/>
                <w:kern w:val="0"/>
                <w:sz w:val="24"/>
              </w:rPr>
            </w:pPr>
            <w:r>
              <w:rPr>
                <w:rFonts w:hint="eastAsia" w:ascii="宋体" w:hAnsi="宋体" w:cs="宋体"/>
                <w:kern w:val="0"/>
                <w:sz w:val="24"/>
              </w:rPr>
              <w:t>1、机械式弹子锁、叶片锁，机械式或电子密码锁，符合GB 21556-2008《锁具安全通用技术条件》，使用寿命≥20000次。</w:t>
            </w:r>
            <w:r>
              <w:rPr>
                <w:rFonts w:hint="eastAsia" w:ascii="宋体" w:hAnsi="宋体" w:cs="宋体"/>
                <w:kern w:val="0"/>
                <w:sz w:val="24"/>
              </w:rPr>
              <w:br w:type="textWrapping"/>
            </w:r>
            <w:r>
              <w:rPr>
                <w:rFonts w:hint="eastAsia" w:ascii="宋体" w:hAnsi="宋体" w:cs="宋体"/>
                <w:kern w:val="0"/>
                <w:sz w:val="24"/>
              </w:rPr>
              <w:t>2、电镀件外露表面经24h的中性盐雾试验（QB/T3826-1999）后，外观评级≥9级。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724"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16</w:t>
            </w:r>
          </w:p>
        </w:tc>
        <w:tc>
          <w:tcPr>
            <w:tcW w:w="1276"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人造石</w:t>
            </w:r>
          </w:p>
        </w:tc>
        <w:tc>
          <w:tcPr>
            <w:tcW w:w="6663" w:type="dxa"/>
            <w:shd w:val="clear" w:color="auto" w:fill="auto"/>
            <w:noWrap w:val="0"/>
            <w:vAlign w:val="center"/>
          </w:tcPr>
          <w:p>
            <w:pPr>
              <w:widowControl/>
              <w:jc w:val="left"/>
              <w:rPr>
                <w:rFonts w:ascii="宋体" w:hAnsi="宋体" w:cs="宋体"/>
                <w:kern w:val="0"/>
                <w:sz w:val="24"/>
              </w:rPr>
            </w:pPr>
            <w:r>
              <w:rPr>
                <w:rFonts w:hint="eastAsia" w:ascii="宋体" w:hAnsi="宋体" w:cs="宋体"/>
                <w:kern w:val="0"/>
                <w:sz w:val="24"/>
              </w:rPr>
              <w:t>1、基材：厚度≥12mm；</w:t>
            </w:r>
            <w:r>
              <w:rPr>
                <w:rFonts w:hint="eastAsia" w:ascii="宋体" w:hAnsi="宋体" w:cs="宋体"/>
                <w:kern w:val="0"/>
                <w:sz w:val="24"/>
              </w:rPr>
              <w:br w:type="textWrapping"/>
            </w:r>
            <w:r>
              <w:rPr>
                <w:rFonts w:hint="eastAsia" w:ascii="宋体" w:hAnsi="宋体" w:cs="宋体"/>
                <w:kern w:val="0"/>
                <w:sz w:val="24"/>
              </w:rPr>
              <w:t>2、抗弯曲性能≥40MPa，耐污染性≤60，冲击韧性≥6.0，内照射指数≤0.5，外照射指数≤0.5(JC/T 908-2013《人造石》、GB 6566-2010《建筑材料放射性核素限量》)；</w:t>
            </w:r>
            <w:r>
              <w:rPr>
                <w:rFonts w:hint="eastAsia" w:ascii="宋体" w:hAnsi="宋体" w:cs="宋体"/>
                <w:kern w:val="0"/>
                <w:sz w:val="24"/>
              </w:rPr>
              <w:br w:type="textWrapping"/>
            </w:r>
            <w:r>
              <w:rPr>
                <w:rFonts w:hint="eastAsia" w:ascii="宋体" w:hAnsi="宋体" w:cs="宋体"/>
                <w:kern w:val="0"/>
                <w:sz w:val="24"/>
              </w:rPr>
              <w:t>3、表面抗菌率99.9%（GB/T 31402-2015 《塑料 塑料表面抗菌性能试验方法》99.9%）；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24"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17</w:t>
            </w:r>
          </w:p>
        </w:tc>
        <w:tc>
          <w:tcPr>
            <w:tcW w:w="1276"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海绵/泡棉</w:t>
            </w:r>
          </w:p>
        </w:tc>
        <w:tc>
          <w:tcPr>
            <w:tcW w:w="6663" w:type="dxa"/>
            <w:shd w:val="clear" w:color="auto" w:fill="auto"/>
            <w:noWrap w:val="0"/>
            <w:vAlign w:val="center"/>
          </w:tcPr>
          <w:p>
            <w:pPr>
              <w:widowControl/>
              <w:jc w:val="left"/>
              <w:rPr>
                <w:rFonts w:ascii="宋体" w:hAnsi="宋体" w:cs="宋体"/>
                <w:kern w:val="0"/>
                <w:sz w:val="24"/>
              </w:rPr>
            </w:pPr>
            <w:r>
              <w:rPr>
                <w:rFonts w:hint="eastAsia" w:ascii="宋体" w:hAnsi="宋体" w:cs="宋体"/>
                <w:kern w:val="0"/>
                <w:sz w:val="24"/>
              </w:rPr>
              <w:t>1、优质环保型高密度、高回弹PU原生泡绵，海绵密度≥30kg/m3，厚度≥7mm（GB/T 10802-2006），圆润厚实，弹性好；</w:t>
            </w:r>
            <w:r>
              <w:rPr>
                <w:rFonts w:hint="eastAsia" w:ascii="宋体" w:hAnsi="宋体" w:cs="宋体"/>
                <w:kern w:val="0"/>
                <w:sz w:val="24"/>
              </w:rPr>
              <w:br w:type="textWrapping"/>
            </w:r>
            <w:r>
              <w:rPr>
                <w:rFonts w:hint="eastAsia" w:ascii="宋体" w:hAnsi="宋体" w:cs="宋体"/>
                <w:kern w:val="0"/>
                <w:sz w:val="24"/>
              </w:rPr>
              <w:t>2、表面涂有防止老化变形的保护膜，达到国家阻燃标准；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trPr>
        <w:tc>
          <w:tcPr>
            <w:tcW w:w="724"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18</w:t>
            </w:r>
          </w:p>
        </w:tc>
        <w:tc>
          <w:tcPr>
            <w:tcW w:w="1276"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气压棒</w:t>
            </w:r>
          </w:p>
        </w:tc>
        <w:tc>
          <w:tcPr>
            <w:tcW w:w="6663" w:type="dxa"/>
            <w:shd w:val="clear" w:color="auto" w:fill="auto"/>
            <w:noWrap w:val="0"/>
            <w:vAlign w:val="center"/>
          </w:tcPr>
          <w:p>
            <w:pPr>
              <w:widowControl/>
              <w:jc w:val="left"/>
              <w:rPr>
                <w:rFonts w:ascii="宋体" w:hAnsi="宋体" w:cs="宋体"/>
                <w:kern w:val="0"/>
                <w:sz w:val="24"/>
              </w:rPr>
            </w:pPr>
            <w:r>
              <w:rPr>
                <w:rFonts w:hint="eastAsia" w:ascii="宋体" w:hAnsi="宋体" w:cs="宋体"/>
                <w:kern w:val="0"/>
                <w:sz w:val="24"/>
              </w:rPr>
              <w:t>1、采用优质气压棒，2.0mm厚壁管，正品钢印认证；</w:t>
            </w:r>
            <w:r>
              <w:rPr>
                <w:rFonts w:hint="eastAsia" w:ascii="宋体" w:hAnsi="宋体" w:cs="宋体"/>
                <w:kern w:val="0"/>
                <w:sz w:val="24"/>
              </w:rPr>
              <w:br w:type="textWrapping"/>
            </w:r>
            <w:r>
              <w:rPr>
                <w:rFonts w:hint="eastAsia" w:ascii="宋体" w:hAnsi="宋体" w:cs="宋体"/>
                <w:kern w:val="0"/>
                <w:sz w:val="24"/>
              </w:rPr>
              <w:t>2、升降行程60-120mm。可承受250KG压力，升降次数可达8-12万次；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 w:hRule="atLeast"/>
        </w:trPr>
        <w:tc>
          <w:tcPr>
            <w:tcW w:w="724"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19</w:t>
            </w:r>
          </w:p>
        </w:tc>
        <w:tc>
          <w:tcPr>
            <w:tcW w:w="1276"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转椅椅脚</w:t>
            </w:r>
          </w:p>
        </w:tc>
        <w:tc>
          <w:tcPr>
            <w:tcW w:w="6663" w:type="dxa"/>
            <w:shd w:val="clear" w:color="auto" w:fill="auto"/>
            <w:noWrap w:val="0"/>
            <w:vAlign w:val="center"/>
          </w:tcPr>
          <w:p>
            <w:pPr>
              <w:widowControl/>
              <w:jc w:val="left"/>
              <w:rPr>
                <w:rFonts w:ascii="宋体" w:hAnsi="宋体" w:cs="宋体"/>
                <w:kern w:val="0"/>
                <w:sz w:val="24"/>
              </w:rPr>
            </w:pPr>
            <w:r>
              <w:rPr>
                <w:rFonts w:hint="eastAsia" w:ascii="宋体" w:hAnsi="宋体" w:cs="宋体"/>
                <w:kern w:val="0"/>
                <w:sz w:val="24"/>
              </w:rPr>
              <w:t>1、尼龙塑料或精抛电镀合金压铸五星脚；</w:t>
            </w:r>
            <w:r>
              <w:rPr>
                <w:rFonts w:hint="eastAsia" w:ascii="宋体" w:hAnsi="宋体" w:cs="宋体"/>
                <w:kern w:val="0"/>
                <w:sz w:val="24"/>
              </w:rPr>
              <w:br w:type="textWrapping"/>
            </w:r>
            <w:r>
              <w:rPr>
                <w:rFonts w:hint="eastAsia" w:ascii="宋体" w:hAnsi="宋体" w:cs="宋体"/>
                <w:kern w:val="0"/>
                <w:sz w:val="24"/>
              </w:rPr>
              <w:t>2、五星椅脚φ≥700mm；</w:t>
            </w:r>
            <w:r>
              <w:rPr>
                <w:rFonts w:hint="eastAsia" w:ascii="宋体" w:hAnsi="宋体" w:cs="宋体"/>
                <w:kern w:val="0"/>
                <w:sz w:val="24"/>
              </w:rPr>
              <w:br w:type="textWrapping"/>
            </w:r>
            <w:r>
              <w:rPr>
                <w:rFonts w:hint="eastAsia" w:ascii="宋体" w:hAnsi="宋体" w:cs="宋体"/>
                <w:kern w:val="0"/>
                <w:sz w:val="24"/>
              </w:rPr>
              <w:t>3、表面处理：表面经去油、除锈、硅烷磷化工艺处理后电镀处理，表面光亮平整，无颗粒渣点，着色均匀，附着力极佳，涂漆厚度≥60um，喷涂硬度＞2H，坚固耐用：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724"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20</w:t>
            </w:r>
          </w:p>
        </w:tc>
        <w:tc>
          <w:tcPr>
            <w:tcW w:w="1276"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金属椅脚</w:t>
            </w:r>
          </w:p>
        </w:tc>
        <w:tc>
          <w:tcPr>
            <w:tcW w:w="6663" w:type="dxa"/>
            <w:shd w:val="clear" w:color="auto" w:fill="auto"/>
            <w:noWrap w:val="0"/>
            <w:vAlign w:val="center"/>
          </w:tcPr>
          <w:p>
            <w:pPr>
              <w:widowControl/>
              <w:jc w:val="left"/>
              <w:rPr>
                <w:rFonts w:ascii="宋体" w:hAnsi="宋体" w:cs="宋体"/>
                <w:kern w:val="0"/>
                <w:sz w:val="24"/>
              </w:rPr>
            </w:pPr>
            <w:r>
              <w:rPr>
                <w:rFonts w:hint="eastAsia" w:ascii="宋体" w:hAnsi="宋体" w:cs="宋体"/>
                <w:kern w:val="0"/>
                <w:sz w:val="24"/>
              </w:rPr>
              <w:t>1、采用φ≥12mm实心金属管材弯曲制作；</w:t>
            </w:r>
            <w:r>
              <w:rPr>
                <w:rFonts w:hint="eastAsia" w:ascii="宋体" w:hAnsi="宋体" w:cs="宋体"/>
                <w:kern w:val="0"/>
                <w:sz w:val="24"/>
              </w:rPr>
              <w:br w:type="textWrapping"/>
            </w:r>
            <w:r>
              <w:rPr>
                <w:rFonts w:hint="eastAsia" w:ascii="宋体" w:hAnsi="宋体" w:cs="宋体"/>
                <w:kern w:val="0"/>
                <w:sz w:val="24"/>
              </w:rPr>
              <w:t>2、金属管材焊接：焊接表面波纹均匀，焊接处无夹渣、气孔、焊瘤、焊丝头咬边飞溅，保证无脱焊、虚焊及焊穿现象；</w:t>
            </w:r>
            <w:r>
              <w:rPr>
                <w:rFonts w:hint="eastAsia" w:ascii="宋体" w:hAnsi="宋体" w:cs="宋体"/>
                <w:kern w:val="0"/>
                <w:sz w:val="24"/>
              </w:rPr>
              <w:br w:type="textWrapping"/>
            </w:r>
            <w:r>
              <w:rPr>
                <w:rFonts w:hint="eastAsia" w:ascii="宋体" w:hAnsi="宋体" w:cs="宋体"/>
                <w:kern w:val="0"/>
                <w:sz w:val="24"/>
              </w:rPr>
              <w:t>3、表面处理：表面经去油、除锈、硅烷磷化工艺处理后电镀或喷涂处理，表面光亮平整，无颗粒渣点，着色均匀，附着力极佳，涂漆厚度≥60um，喷涂硬度＞2H，坚固耐用：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724"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21</w:t>
            </w:r>
          </w:p>
        </w:tc>
        <w:tc>
          <w:tcPr>
            <w:tcW w:w="1276"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轮脚</w:t>
            </w:r>
          </w:p>
        </w:tc>
        <w:tc>
          <w:tcPr>
            <w:tcW w:w="6663" w:type="dxa"/>
            <w:shd w:val="clear" w:color="auto" w:fill="auto"/>
            <w:noWrap/>
            <w:vAlign w:val="center"/>
          </w:tcPr>
          <w:p>
            <w:pPr>
              <w:widowControl/>
              <w:jc w:val="left"/>
              <w:rPr>
                <w:rFonts w:ascii="宋体" w:hAnsi="宋体" w:cs="宋体"/>
                <w:kern w:val="0"/>
                <w:sz w:val="24"/>
              </w:rPr>
            </w:pPr>
            <w:r>
              <w:rPr>
                <w:rFonts w:hint="eastAsia" w:ascii="宋体" w:hAnsi="宋体" w:cs="宋体"/>
                <w:kern w:val="0"/>
                <w:sz w:val="24"/>
              </w:rPr>
              <w:t>1、φ50-70mm的优质尼龙纤维滚轮，滑动时无杂音、活动自如；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24"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22</w:t>
            </w:r>
          </w:p>
        </w:tc>
        <w:tc>
          <w:tcPr>
            <w:tcW w:w="1276"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钢制柜体工艺</w:t>
            </w:r>
          </w:p>
        </w:tc>
        <w:tc>
          <w:tcPr>
            <w:tcW w:w="6663" w:type="dxa"/>
            <w:shd w:val="clear" w:color="auto" w:fill="auto"/>
            <w:noWrap w:val="0"/>
            <w:vAlign w:val="center"/>
          </w:tcPr>
          <w:p>
            <w:pPr>
              <w:widowControl/>
              <w:jc w:val="left"/>
              <w:rPr>
                <w:rFonts w:ascii="宋体" w:hAnsi="宋体" w:cs="宋体"/>
                <w:kern w:val="0"/>
                <w:sz w:val="24"/>
              </w:rPr>
            </w:pPr>
            <w:r>
              <w:rPr>
                <w:rFonts w:hint="eastAsia" w:ascii="宋体" w:hAnsi="宋体" w:cs="宋体"/>
                <w:kern w:val="0"/>
                <w:sz w:val="24"/>
              </w:rPr>
              <w:t>1、美背式设计：侧板及背板采用一张钢板一体折弯成型；</w:t>
            </w:r>
            <w:r>
              <w:rPr>
                <w:rFonts w:hint="eastAsia" w:ascii="宋体" w:hAnsi="宋体" w:cs="宋体"/>
                <w:kern w:val="0"/>
                <w:sz w:val="24"/>
              </w:rPr>
              <w:br w:type="textWrapping"/>
            </w:r>
            <w:r>
              <w:rPr>
                <w:rFonts w:hint="eastAsia" w:ascii="宋体" w:hAnsi="宋体" w:cs="宋体"/>
                <w:kern w:val="0"/>
                <w:sz w:val="24"/>
              </w:rPr>
              <w:t>2、焊接采用电阻焊，平整度高，四周接口处采用铜焊；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24"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23</w:t>
            </w:r>
          </w:p>
        </w:tc>
        <w:tc>
          <w:tcPr>
            <w:tcW w:w="1276"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木制桌/柜工艺</w:t>
            </w:r>
          </w:p>
        </w:tc>
        <w:tc>
          <w:tcPr>
            <w:tcW w:w="6663" w:type="dxa"/>
            <w:shd w:val="clear" w:color="auto" w:fill="auto"/>
            <w:noWrap w:val="0"/>
            <w:vAlign w:val="center"/>
          </w:tcPr>
          <w:p>
            <w:pPr>
              <w:widowControl/>
              <w:jc w:val="left"/>
              <w:rPr>
                <w:rFonts w:ascii="宋体" w:hAnsi="宋体" w:cs="宋体"/>
                <w:kern w:val="0"/>
                <w:sz w:val="24"/>
              </w:rPr>
            </w:pPr>
            <w:r>
              <w:rPr>
                <w:rFonts w:hint="eastAsia" w:ascii="宋体" w:hAnsi="宋体" w:cs="宋体"/>
                <w:kern w:val="0"/>
                <w:sz w:val="24"/>
              </w:rPr>
              <w:t>1、桌面板材厚度≥2.5mm，柜体板材厚度≥1.8mm；</w:t>
            </w:r>
            <w:r>
              <w:rPr>
                <w:rFonts w:hint="eastAsia" w:ascii="宋体" w:hAnsi="宋体" w:cs="宋体"/>
                <w:kern w:val="0"/>
                <w:sz w:val="24"/>
              </w:rPr>
              <w:br w:type="textWrapping"/>
            </w:r>
            <w:r>
              <w:rPr>
                <w:rFonts w:hint="eastAsia" w:ascii="宋体" w:hAnsi="宋体" w:cs="宋体"/>
                <w:kern w:val="0"/>
                <w:sz w:val="24"/>
              </w:rPr>
              <w:t>2、可拆卸设计，连接牢固可重复拆装；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24"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24</w:t>
            </w:r>
          </w:p>
        </w:tc>
        <w:tc>
          <w:tcPr>
            <w:tcW w:w="1276"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钢制桌脚</w:t>
            </w:r>
          </w:p>
        </w:tc>
        <w:tc>
          <w:tcPr>
            <w:tcW w:w="6663" w:type="dxa"/>
            <w:shd w:val="clear" w:color="auto" w:fill="auto"/>
            <w:noWrap w:val="0"/>
            <w:vAlign w:val="center"/>
          </w:tcPr>
          <w:p>
            <w:pPr>
              <w:widowControl/>
              <w:jc w:val="left"/>
              <w:rPr>
                <w:rFonts w:ascii="宋体" w:hAnsi="宋体" w:cs="宋体"/>
                <w:kern w:val="0"/>
                <w:sz w:val="24"/>
              </w:rPr>
            </w:pPr>
            <w:r>
              <w:rPr>
                <w:rFonts w:hint="eastAsia" w:ascii="宋体" w:hAnsi="宋体" w:cs="宋体"/>
                <w:kern w:val="0"/>
                <w:sz w:val="24"/>
              </w:rPr>
              <w:t>1、选用喷涂可调平门字形或口字形冷轧钢制桌脚，钢管厚度≥1.2mm。</w:t>
            </w:r>
            <w:r>
              <w:rPr>
                <w:rFonts w:hint="eastAsia" w:ascii="宋体" w:hAnsi="宋体" w:cs="宋体"/>
                <w:kern w:val="0"/>
                <w:sz w:val="24"/>
              </w:rPr>
              <w:br w:type="textWrapping"/>
            </w:r>
            <w:r>
              <w:rPr>
                <w:rFonts w:hint="eastAsia" w:ascii="宋体" w:hAnsi="宋体" w:cs="宋体"/>
                <w:kern w:val="0"/>
                <w:sz w:val="24"/>
              </w:rPr>
              <w:t>2、金属表面采用优质抑菌粉末全自动喷涂工艺，涂粉厚度≥60um，喷涂硬度≥2H；</w:t>
            </w:r>
            <w:r>
              <w:rPr>
                <w:rFonts w:hint="eastAsia" w:ascii="宋体" w:hAnsi="宋体" w:cs="宋体"/>
                <w:kern w:val="0"/>
                <w:sz w:val="24"/>
              </w:rPr>
              <w:br w:type="textWrapping"/>
            </w:r>
            <w:r>
              <w:rPr>
                <w:rFonts w:hint="eastAsia" w:ascii="宋体" w:hAnsi="宋体" w:cs="宋体"/>
                <w:kern w:val="0"/>
                <w:sz w:val="24"/>
              </w:rPr>
              <w:t>3、桌脚可调节，调节范围≥10mm，每个水平脚可承受重量在100公斤以上。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724"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25</w:t>
            </w:r>
          </w:p>
        </w:tc>
        <w:tc>
          <w:tcPr>
            <w:tcW w:w="1276"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柜内层板</w:t>
            </w:r>
          </w:p>
        </w:tc>
        <w:tc>
          <w:tcPr>
            <w:tcW w:w="6663" w:type="dxa"/>
            <w:shd w:val="clear" w:color="auto" w:fill="auto"/>
            <w:noWrap w:val="0"/>
            <w:vAlign w:val="center"/>
          </w:tcPr>
          <w:p>
            <w:pPr>
              <w:widowControl/>
              <w:jc w:val="left"/>
              <w:rPr>
                <w:rFonts w:ascii="宋体" w:hAnsi="宋体" w:cs="宋体"/>
                <w:kern w:val="0"/>
                <w:sz w:val="24"/>
              </w:rPr>
            </w:pPr>
            <w:r>
              <w:rPr>
                <w:rFonts w:hint="eastAsia" w:ascii="宋体" w:hAnsi="宋体" w:cs="宋体"/>
                <w:kern w:val="0"/>
                <w:sz w:val="24"/>
              </w:rPr>
              <w:t>1、层板和柜体同材质要求；</w:t>
            </w:r>
            <w:r>
              <w:rPr>
                <w:rFonts w:hint="eastAsia" w:ascii="宋体" w:hAnsi="宋体" w:cs="宋体"/>
                <w:kern w:val="0"/>
                <w:sz w:val="24"/>
              </w:rPr>
              <w:br w:type="textWrapping"/>
            </w:r>
            <w:r>
              <w:rPr>
                <w:rFonts w:hint="eastAsia" w:ascii="宋体" w:hAnsi="宋体" w:cs="宋体"/>
                <w:kern w:val="0"/>
                <w:sz w:val="24"/>
              </w:rPr>
              <w:t>2、钢制层板有加强筋设计；</w:t>
            </w:r>
            <w:r>
              <w:rPr>
                <w:rFonts w:hint="eastAsia" w:ascii="宋体" w:hAnsi="宋体" w:cs="宋体"/>
                <w:kern w:val="0"/>
                <w:sz w:val="24"/>
              </w:rPr>
              <w:br w:type="textWrapping"/>
            </w:r>
            <w:r>
              <w:rPr>
                <w:rFonts w:hint="eastAsia" w:ascii="宋体" w:hAnsi="宋体" w:cs="宋体"/>
                <w:kern w:val="0"/>
                <w:sz w:val="24"/>
              </w:rPr>
              <w:t>3、单块层板承重≥60Kg，满负荷24小时候下挠度低于3mm，卸载后自动恢复；</w:t>
            </w:r>
            <w:r>
              <w:rPr>
                <w:rFonts w:hint="eastAsia" w:ascii="宋体" w:hAnsi="宋体" w:cs="宋体"/>
                <w:kern w:val="0"/>
                <w:sz w:val="24"/>
              </w:rPr>
              <w:br w:type="textWrapping"/>
            </w:r>
            <w:r>
              <w:rPr>
                <w:rFonts w:hint="eastAsia" w:ascii="宋体" w:hAnsi="宋体" w:cs="宋体"/>
                <w:kern w:val="0"/>
                <w:sz w:val="24"/>
              </w:rPr>
              <w:t>4、层板能在柜体内调整高度；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24"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26</w:t>
            </w:r>
          </w:p>
        </w:tc>
        <w:tc>
          <w:tcPr>
            <w:tcW w:w="1276"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防碰撞</w:t>
            </w:r>
          </w:p>
        </w:tc>
        <w:tc>
          <w:tcPr>
            <w:tcW w:w="6663" w:type="dxa"/>
            <w:shd w:val="clear" w:color="auto" w:fill="auto"/>
            <w:noWrap w:val="0"/>
            <w:vAlign w:val="center"/>
          </w:tcPr>
          <w:p>
            <w:pPr>
              <w:widowControl/>
              <w:jc w:val="left"/>
              <w:rPr>
                <w:rFonts w:ascii="宋体" w:hAnsi="宋体" w:cs="宋体"/>
                <w:kern w:val="0"/>
                <w:sz w:val="24"/>
              </w:rPr>
            </w:pPr>
            <w:r>
              <w:rPr>
                <w:rFonts w:hint="eastAsia" w:ascii="宋体" w:hAnsi="宋体" w:cs="宋体"/>
                <w:kern w:val="0"/>
                <w:sz w:val="24"/>
              </w:rPr>
              <w:t>1、桌、柜边角采用倒角设计；</w:t>
            </w:r>
            <w:r>
              <w:rPr>
                <w:rFonts w:hint="eastAsia" w:ascii="宋体" w:hAnsi="宋体" w:cs="宋体"/>
                <w:kern w:val="0"/>
                <w:sz w:val="24"/>
              </w:rPr>
              <w:br w:type="textWrapping"/>
            </w:r>
            <w:r>
              <w:rPr>
                <w:rFonts w:hint="eastAsia" w:ascii="宋体" w:hAnsi="宋体" w:cs="宋体"/>
                <w:kern w:val="0"/>
                <w:sz w:val="24"/>
              </w:rPr>
              <w:t>2、内凹式把手设计；</w:t>
            </w:r>
            <w:r>
              <w:rPr>
                <w:rFonts w:hint="eastAsia" w:ascii="宋体" w:hAnsi="宋体" w:cs="宋体"/>
                <w:kern w:val="0"/>
                <w:sz w:val="24"/>
              </w:rPr>
              <w:br w:type="textWrapping"/>
            </w:r>
            <w:r>
              <w:rPr>
                <w:rFonts w:hint="eastAsia" w:ascii="宋体" w:hAnsi="宋体" w:cs="宋体"/>
                <w:kern w:val="0"/>
                <w:sz w:val="24"/>
              </w:rPr>
              <w:t>3、钥匙可折叠；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24" w:type="dxa"/>
            <w:shd w:val="clear" w:color="auto" w:fill="auto"/>
            <w:noWrap/>
            <w:vAlign w:val="center"/>
          </w:tcPr>
          <w:p>
            <w:pPr>
              <w:widowControl/>
              <w:jc w:val="center"/>
              <w:rPr>
                <w:rFonts w:ascii="宋体" w:hAnsi="宋体" w:cs="宋体"/>
                <w:kern w:val="0"/>
                <w:sz w:val="24"/>
              </w:rPr>
            </w:pPr>
            <w:r>
              <w:rPr>
                <w:rFonts w:hint="eastAsia" w:ascii="宋体" w:hAnsi="宋体" w:cs="宋体"/>
                <w:kern w:val="0"/>
                <w:sz w:val="24"/>
              </w:rPr>
              <w:t>27</w:t>
            </w:r>
          </w:p>
        </w:tc>
        <w:tc>
          <w:tcPr>
            <w:tcW w:w="1276" w:type="dxa"/>
            <w:shd w:val="clear" w:color="auto" w:fill="auto"/>
            <w:noWrap w:val="0"/>
            <w:vAlign w:val="center"/>
          </w:tcPr>
          <w:p>
            <w:pPr>
              <w:widowControl/>
              <w:jc w:val="center"/>
              <w:rPr>
                <w:rFonts w:ascii="宋体" w:hAnsi="宋体" w:cs="宋体"/>
                <w:kern w:val="0"/>
                <w:sz w:val="24"/>
              </w:rPr>
            </w:pPr>
            <w:r>
              <w:rPr>
                <w:rFonts w:hint="eastAsia" w:ascii="宋体" w:hAnsi="宋体" w:cs="宋体"/>
                <w:kern w:val="0"/>
                <w:sz w:val="24"/>
              </w:rPr>
              <w:t>隐藏式走线系统/面板模块</w:t>
            </w:r>
          </w:p>
        </w:tc>
        <w:tc>
          <w:tcPr>
            <w:tcW w:w="6663" w:type="dxa"/>
            <w:shd w:val="clear" w:color="auto" w:fill="auto"/>
            <w:noWrap w:val="0"/>
            <w:vAlign w:val="center"/>
          </w:tcPr>
          <w:p>
            <w:pPr>
              <w:widowControl/>
              <w:jc w:val="left"/>
              <w:rPr>
                <w:rFonts w:ascii="宋体" w:hAnsi="宋体" w:cs="宋体"/>
                <w:kern w:val="0"/>
                <w:sz w:val="24"/>
              </w:rPr>
            </w:pPr>
            <w:r>
              <w:rPr>
                <w:rFonts w:hint="eastAsia" w:ascii="宋体" w:hAnsi="宋体" w:cs="宋体"/>
                <w:kern w:val="0"/>
                <w:sz w:val="24"/>
              </w:rPr>
              <w:t>1、强弱电分离设计；</w:t>
            </w:r>
            <w:r>
              <w:rPr>
                <w:rFonts w:hint="eastAsia" w:ascii="宋体" w:hAnsi="宋体" w:cs="宋体"/>
                <w:kern w:val="0"/>
                <w:sz w:val="24"/>
              </w:rPr>
              <w:br w:type="textWrapping"/>
            </w:r>
            <w:r>
              <w:rPr>
                <w:rFonts w:hint="eastAsia" w:ascii="宋体" w:hAnsi="宋体" w:cs="宋体"/>
                <w:kern w:val="0"/>
                <w:sz w:val="24"/>
              </w:rPr>
              <w:t>2、带可掀式可走线面板盒，内部预留标准86线盒孔，电源系统符合3C认证。</w:t>
            </w:r>
            <w:r>
              <w:rPr>
                <w:rFonts w:hint="eastAsia" w:ascii="宋体" w:hAnsi="宋体" w:cs="宋体"/>
                <w:kern w:val="0"/>
                <w:sz w:val="24"/>
              </w:rPr>
              <w:br w:type="textWrapping"/>
            </w:r>
            <w:r>
              <w:rPr>
                <w:rFonts w:hint="eastAsia" w:ascii="宋体" w:hAnsi="宋体" w:cs="宋体"/>
                <w:kern w:val="0"/>
                <w:sz w:val="24"/>
              </w:rPr>
              <w:t>3、面板盒内含≥3个强电2个弱电2个USB充电接口模块及面板；</w:t>
            </w:r>
          </w:p>
        </w:tc>
      </w:tr>
    </w:tbl>
    <w:p>
      <w:pPr>
        <w:pStyle w:val="7"/>
        <w:widowControl w:val="0"/>
        <w:numPr>
          <w:ilvl w:val="0"/>
          <w:numId w:val="1"/>
        </w:numPr>
        <w:autoSpaceDE w:val="0"/>
        <w:autoSpaceDN w:val="0"/>
        <w:adjustRightInd w:val="0"/>
        <w:snapToGrid w:val="0"/>
        <w:spacing w:line="360" w:lineRule="auto"/>
        <w:ind w:left="420" w:leftChars="0" w:hanging="420" w:firstLineChars="0"/>
        <w:jc w:val="both"/>
        <w:textAlignment w:val="bottom"/>
        <w:rPr>
          <w:rFonts w:hint="eastAsia" w:ascii="宋体" w:hAnsi="宋体" w:cs="宋体"/>
          <w:color w:val="FF0000"/>
          <w:sz w:val="24"/>
          <w:szCs w:val="24"/>
          <w:lang w:eastAsia="zh-CN"/>
        </w:rPr>
      </w:pPr>
      <w:r>
        <w:rPr>
          <w:rFonts w:hint="eastAsia" w:ascii="宋体" w:hAnsi="宋体" w:cs="宋体"/>
          <w:color w:val="FF0000"/>
          <w:sz w:val="24"/>
          <w:szCs w:val="24"/>
          <w:lang w:val="en-US" w:eastAsia="zh-CN"/>
        </w:rPr>
        <w:t>注：</w:t>
      </w:r>
      <w:r>
        <w:rPr>
          <w:rFonts w:hint="eastAsia" w:ascii="宋体" w:hAnsi="宋体" w:cs="宋体"/>
          <w:color w:val="FF0000"/>
          <w:sz w:val="24"/>
          <w:szCs w:val="24"/>
          <w:lang w:eastAsia="zh-CN"/>
        </w:rPr>
        <w:t>表中“材质说明”并非所供产品技术要求的全部，供应商应对家具的尺寸、选用的材料和五金配件、涂装技术等技术规格和配置的进行详细阐述。</w:t>
      </w:r>
    </w:p>
    <w:p>
      <w:pPr>
        <w:pStyle w:val="7"/>
        <w:widowControl w:val="0"/>
        <w:autoSpaceDE w:val="0"/>
        <w:autoSpaceDN w:val="0"/>
        <w:adjustRightInd w:val="0"/>
        <w:snapToGrid w:val="0"/>
        <w:spacing w:line="360" w:lineRule="auto"/>
        <w:ind w:left="0" w:firstLine="480" w:firstLineChars="200"/>
        <w:jc w:val="both"/>
        <w:textAlignment w:val="bottom"/>
        <w:rPr>
          <w:rFonts w:ascii="宋体" w:hAnsi="宋体" w:cs="宋体"/>
          <w:sz w:val="24"/>
          <w:szCs w:val="24"/>
          <w:lang w:eastAsia="zh-CN"/>
        </w:rPr>
      </w:pPr>
      <w:r>
        <w:rPr>
          <w:rFonts w:hint="eastAsia" w:ascii="宋体" w:hAnsi="宋体" w:cs="宋体"/>
          <w:sz w:val="24"/>
          <w:szCs w:val="24"/>
          <w:lang w:eastAsia="zh-CN"/>
        </w:rPr>
        <w:t>9、供货要求</w:t>
      </w:r>
    </w:p>
    <w:p>
      <w:pPr>
        <w:pStyle w:val="7"/>
        <w:widowControl w:val="0"/>
        <w:autoSpaceDE w:val="0"/>
        <w:autoSpaceDN w:val="0"/>
        <w:adjustRightInd w:val="0"/>
        <w:snapToGrid w:val="0"/>
        <w:spacing w:line="360" w:lineRule="auto"/>
        <w:ind w:left="0" w:firstLine="480" w:firstLineChars="200"/>
        <w:jc w:val="both"/>
        <w:textAlignment w:val="bottom"/>
        <w:rPr>
          <w:rFonts w:ascii="宋体" w:hAnsi="宋体" w:cs="宋体"/>
          <w:sz w:val="24"/>
          <w:szCs w:val="24"/>
          <w:lang w:eastAsia="zh-CN"/>
        </w:rPr>
      </w:pPr>
      <w:r>
        <w:rPr>
          <w:rFonts w:hint="eastAsia" w:ascii="宋体" w:hAnsi="宋体" w:cs="宋体"/>
          <w:sz w:val="24"/>
          <w:szCs w:val="24"/>
          <w:lang w:eastAsia="zh-CN"/>
        </w:rPr>
        <w:t>（1）供应商须按照国家有关标准及规范完成家具的供货、运输保管、装</w:t>
      </w:r>
      <w:bookmarkStart w:id="0" w:name="_GoBack"/>
      <w:bookmarkEnd w:id="0"/>
      <w:r>
        <w:rPr>
          <w:rFonts w:hint="eastAsia" w:ascii="宋体" w:hAnsi="宋体" w:cs="宋体"/>
          <w:sz w:val="24"/>
          <w:szCs w:val="24"/>
          <w:lang w:eastAsia="zh-CN"/>
        </w:rPr>
        <w:t>卸、安装（包括家具电气开孔安装等）、调试、检验、无条件提供各项数据资料，保证通过验收；</w:t>
      </w:r>
    </w:p>
    <w:p>
      <w:pPr>
        <w:pStyle w:val="7"/>
        <w:widowControl w:val="0"/>
        <w:autoSpaceDE w:val="0"/>
        <w:autoSpaceDN w:val="0"/>
        <w:adjustRightInd w:val="0"/>
        <w:snapToGrid w:val="0"/>
        <w:spacing w:line="360" w:lineRule="auto"/>
        <w:ind w:left="0" w:firstLine="480" w:firstLineChars="200"/>
        <w:jc w:val="both"/>
        <w:textAlignment w:val="bottom"/>
        <w:rPr>
          <w:rFonts w:ascii="宋体" w:hAnsi="宋体" w:cs="宋体"/>
          <w:sz w:val="24"/>
          <w:szCs w:val="24"/>
          <w:lang w:eastAsia="zh-CN"/>
        </w:rPr>
      </w:pPr>
      <w:r>
        <w:rPr>
          <w:rFonts w:hint="eastAsia" w:ascii="宋体" w:hAnsi="宋体" w:cs="宋体"/>
          <w:sz w:val="24"/>
          <w:szCs w:val="24"/>
          <w:lang w:eastAsia="zh-CN"/>
        </w:rPr>
        <w:t>（2）供应商在供货前须将所供货物的样品递交采购人审查确认，经认可后方可批量送货。</w:t>
      </w:r>
    </w:p>
    <w:p>
      <w:pPr>
        <w:pStyle w:val="7"/>
        <w:widowControl w:val="0"/>
        <w:autoSpaceDE w:val="0"/>
        <w:autoSpaceDN w:val="0"/>
        <w:adjustRightInd w:val="0"/>
        <w:snapToGrid w:val="0"/>
        <w:spacing w:line="360" w:lineRule="auto"/>
        <w:ind w:left="0" w:firstLine="480" w:firstLineChars="200"/>
        <w:jc w:val="both"/>
        <w:textAlignment w:val="bottom"/>
        <w:rPr>
          <w:rFonts w:ascii="宋体" w:hAnsi="宋体" w:cs="宋体"/>
          <w:sz w:val="24"/>
          <w:szCs w:val="24"/>
          <w:lang w:eastAsia="zh-CN"/>
        </w:rPr>
      </w:pPr>
      <w:r>
        <w:rPr>
          <w:rFonts w:hint="eastAsia" w:ascii="宋体" w:hAnsi="宋体" w:cs="宋体"/>
          <w:sz w:val="24"/>
          <w:szCs w:val="24"/>
          <w:lang w:eastAsia="zh-CN"/>
        </w:rPr>
        <w:t>（3）供应商按采购人要求按需分批次供货，货到采购人指定的使用地点。</w:t>
      </w:r>
    </w:p>
    <w:p>
      <w:pPr>
        <w:pStyle w:val="7"/>
        <w:widowControl w:val="0"/>
        <w:autoSpaceDE w:val="0"/>
        <w:autoSpaceDN w:val="0"/>
        <w:adjustRightInd w:val="0"/>
        <w:snapToGrid w:val="0"/>
        <w:spacing w:line="360" w:lineRule="auto"/>
        <w:ind w:left="0" w:firstLine="480" w:firstLineChars="200"/>
        <w:jc w:val="both"/>
        <w:textAlignment w:val="bottom"/>
        <w:rPr>
          <w:rFonts w:hint="eastAsia" w:ascii="宋体" w:hAnsi="宋体" w:cs="宋体"/>
          <w:sz w:val="24"/>
          <w:szCs w:val="24"/>
          <w:lang w:eastAsia="zh-CN"/>
        </w:rPr>
      </w:pPr>
      <w:r>
        <w:rPr>
          <w:rFonts w:hint="eastAsia" w:ascii="宋体" w:hAnsi="宋体" w:cs="宋体"/>
          <w:sz w:val="24"/>
          <w:szCs w:val="24"/>
          <w:lang w:eastAsia="zh-CN"/>
        </w:rPr>
        <w:t>（4）供应商在响应文件中制订详细的计划，成交后，做好生产准备，采购内容经采购人确认后生产制作，接到采购人供货通知后30天内货到采购人指定地点安装组装完毕，验收合格，交付采购人使用。</w:t>
      </w:r>
    </w:p>
    <w:p>
      <w:pPr>
        <w:pStyle w:val="7"/>
        <w:widowControl w:val="0"/>
        <w:autoSpaceDE w:val="0"/>
        <w:autoSpaceDN w:val="0"/>
        <w:adjustRightInd w:val="0"/>
        <w:snapToGrid w:val="0"/>
        <w:spacing w:line="360" w:lineRule="auto"/>
        <w:ind w:left="0" w:firstLine="480" w:firstLineChars="200"/>
        <w:jc w:val="both"/>
        <w:textAlignment w:val="bottom"/>
        <w:rPr>
          <w:rFonts w:ascii="宋体" w:hAnsi="宋体" w:cs="宋体"/>
          <w:sz w:val="24"/>
          <w:szCs w:val="24"/>
          <w:lang w:eastAsia="zh-CN"/>
        </w:rPr>
      </w:pPr>
      <w:r>
        <w:rPr>
          <w:rFonts w:hint="eastAsia" w:ascii="宋体" w:hAnsi="宋体" w:cs="宋体"/>
          <w:sz w:val="24"/>
          <w:szCs w:val="24"/>
          <w:lang w:eastAsia="zh-CN"/>
        </w:rPr>
        <w:t>（5）供应商成交后，在签订合同前需同采购人再次确认家具的数量、尺寸、颜色、材料及家具的平面布置等。</w:t>
      </w:r>
    </w:p>
    <w:p>
      <w:pPr>
        <w:pStyle w:val="7"/>
        <w:widowControl w:val="0"/>
        <w:autoSpaceDE w:val="0"/>
        <w:autoSpaceDN w:val="0"/>
        <w:adjustRightInd w:val="0"/>
        <w:snapToGrid w:val="0"/>
        <w:spacing w:line="360" w:lineRule="auto"/>
        <w:ind w:left="0" w:firstLine="480" w:firstLineChars="200"/>
        <w:jc w:val="both"/>
        <w:textAlignment w:val="bottom"/>
        <w:rPr>
          <w:rFonts w:ascii="宋体" w:hAnsi="宋体" w:cs="宋体"/>
          <w:sz w:val="24"/>
          <w:szCs w:val="24"/>
          <w:lang w:eastAsia="zh-CN"/>
        </w:rPr>
      </w:pPr>
      <w:r>
        <w:rPr>
          <w:rFonts w:hint="eastAsia" w:ascii="宋体" w:hAnsi="宋体" w:cs="宋体"/>
          <w:sz w:val="24"/>
          <w:szCs w:val="24"/>
          <w:lang w:eastAsia="zh-CN"/>
        </w:rPr>
        <w:t>（6）采购人对采购家具的形状、材质、颜色具有最终决定权。家具产品按响应文件样本中为准，如采购人日后需要更改</w:t>
      </w:r>
      <w:r>
        <w:rPr>
          <w:rFonts w:ascii="宋体" w:hAnsi="宋体" w:cs="宋体"/>
          <w:sz w:val="24"/>
          <w:szCs w:val="24"/>
          <w:lang w:eastAsia="zh-CN"/>
        </w:rPr>
        <w:t>,</w:t>
      </w:r>
      <w:r>
        <w:rPr>
          <w:rFonts w:hint="eastAsia" w:ascii="宋体" w:hAnsi="宋体" w:cs="宋体"/>
          <w:sz w:val="24"/>
          <w:szCs w:val="24"/>
          <w:lang w:eastAsia="zh-CN"/>
        </w:rPr>
        <w:t>供应商应积极配合，价格不变。</w:t>
      </w:r>
    </w:p>
    <w:p>
      <w:pPr>
        <w:pStyle w:val="7"/>
        <w:widowControl w:val="0"/>
        <w:autoSpaceDE w:val="0"/>
        <w:autoSpaceDN w:val="0"/>
        <w:adjustRightInd w:val="0"/>
        <w:snapToGrid w:val="0"/>
        <w:spacing w:line="360" w:lineRule="auto"/>
        <w:ind w:left="0" w:firstLine="480" w:firstLineChars="200"/>
        <w:jc w:val="both"/>
        <w:textAlignment w:val="bottom"/>
        <w:rPr>
          <w:rFonts w:ascii="宋体" w:hAnsi="宋体" w:cs="宋体"/>
          <w:sz w:val="24"/>
          <w:szCs w:val="24"/>
          <w:lang w:eastAsia="zh-CN"/>
        </w:rPr>
      </w:pPr>
      <w:r>
        <w:rPr>
          <w:rFonts w:hint="eastAsia" w:ascii="宋体" w:hAnsi="宋体" w:cs="宋体"/>
          <w:sz w:val="24"/>
          <w:szCs w:val="24"/>
          <w:lang w:eastAsia="zh-CN"/>
        </w:rPr>
        <w:t>（7）允许供应商根据各自模具尺寸对外形尺寸进行局部调整，但必须征得采购人书面同意。供应商必须承担办公家具的制作、运输、装卸、安装放置至采购人指定地点等工作，最终采购以采购人认可的产品封样为准。</w:t>
      </w:r>
    </w:p>
    <w:p>
      <w:pPr>
        <w:pStyle w:val="7"/>
        <w:widowControl w:val="0"/>
        <w:autoSpaceDE w:val="0"/>
        <w:autoSpaceDN w:val="0"/>
        <w:adjustRightInd w:val="0"/>
        <w:snapToGrid w:val="0"/>
        <w:spacing w:line="360" w:lineRule="auto"/>
        <w:ind w:left="0" w:firstLine="480" w:firstLineChars="200"/>
        <w:jc w:val="both"/>
        <w:textAlignment w:val="bottom"/>
        <w:rPr>
          <w:rFonts w:ascii="宋体" w:hAnsi="宋体" w:cs="宋体"/>
          <w:sz w:val="24"/>
          <w:szCs w:val="24"/>
          <w:lang w:eastAsia="zh-CN"/>
        </w:rPr>
      </w:pPr>
      <w:r>
        <w:rPr>
          <w:rFonts w:hint="eastAsia" w:ascii="宋体" w:hAnsi="宋体" w:cs="宋体"/>
          <w:sz w:val="24"/>
          <w:szCs w:val="24"/>
          <w:lang w:eastAsia="zh-CN"/>
        </w:rPr>
        <w:t>（8） 采购人有权调整供应商的供货品种和数量，不限制采购人以最有利的方式签订合同，最终采购金额按实际供货要求计算。</w:t>
      </w:r>
    </w:p>
    <w:p>
      <w:pPr>
        <w:pStyle w:val="7"/>
        <w:widowControl w:val="0"/>
        <w:autoSpaceDE w:val="0"/>
        <w:autoSpaceDN w:val="0"/>
        <w:adjustRightInd w:val="0"/>
        <w:snapToGrid w:val="0"/>
        <w:spacing w:line="360" w:lineRule="auto"/>
        <w:ind w:left="0" w:firstLine="480" w:firstLineChars="200"/>
        <w:jc w:val="both"/>
        <w:textAlignment w:val="bottom"/>
        <w:rPr>
          <w:rFonts w:hint="eastAsia" w:ascii="宋体" w:hAnsi="宋体" w:cs="宋体"/>
          <w:sz w:val="24"/>
          <w:szCs w:val="24"/>
          <w:lang w:eastAsia="zh-CN"/>
        </w:rPr>
      </w:pPr>
      <w:r>
        <w:rPr>
          <w:rFonts w:hint="eastAsia" w:ascii="宋体" w:hAnsi="宋体" w:cs="宋体"/>
          <w:sz w:val="24"/>
          <w:szCs w:val="24"/>
          <w:lang w:eastAsia="zh-CN"/>
        </w:rPr>
        <w:t>（9）供应商提供的成品家具上有厂家LOGO标牌。</w:t>
      </w:r>
    </w:p>
    <w:p>
      <w:pPr>
        <w:pStyle w:val="7"/>
        <w:widowControl w:val="0"/>
        <w:autoSpaceDE w:val="0"/>
        <w:autoSpaceDN w:val="0"/>
        <w:adjustRightInd w:val="0"/>
        <w:snapToGrid w:val="0"/>
        <w:spacing w:line="360" w:lineRule="auto"/>
        <w:ind w:left="0" w:leftChars="0" w:firstLine="0" w:firstLineChars="0"/>
        <w:jc w:val="both"/>
        <w:textAlignment w:val="bottom"/>
        <w:rPr>
          <w:rFonts w:hint="eastAsia" w:ascii="宋体" w:hAnsi="宋体" w:cs="宋体"/>
          <w:sz w:val="24"/>
          <w:szCs w:val="24"/>
          <w:lang w:eastAsia="zh-CN"/>
        </w:rPr>
      </w:pPr>
    </w:p>
    <w:p>
      <w:pPr>
        <w:numPr>
          <w:ilvl w:val="0"/>
          <w:numId w:val="2"/>
        </w:numPr>
        <w:ind w:left="420" w:leftChars="0" w:hanging="420" w:firstLineChars="0"/>
        <w:rPr>
          <w:rFonts w:hint="eastAsia" w:ascii="宋体" w:hAnsi="宋体" w:eastAsia="宋体" w:cs="宋体"/>
          <w:kern w:val="0"/>
          <w:sz w:val="24"/>
          <w:szCs w:val="24"/>
          <w:lang w:val="en-US" w:eastAsia="zh-CN" w:bidi="en-US"/>
        </w:rPr>
      </w:pPr>
      <w:r>
        <w:rPr>
          <w:rFonts w:hint="eastAsia" w:ascii="宋体" w:hAnsi="宋体" w:eastAsia="宋体" w:cs="宋体"/>
          <w:color w:val="FF0000"/>
          <w:kern w:val="0"/>
          <w:sz w:val="24"/>
          <w:szCs w:val="24"/>
          <w:highlight w:val="none"/>
          <w:lang w:val="en-US" w:eastAsia="zh-CN" w:bidi="en-US"/>
        </w:rPr>
        <w:t>注：</w:t>
      </w:r>
      <w:r>
        <w:rPr>
          <w:rFonts w:hint="eastAsia" w:ascii="宋体" w:hAnsi="宋体" w:cs="宋体"/>
          <w:color w:val="FF0000"/>
          <w:kern w:val="0"/>
          <w:sz w:val="24"/>
          <w:szCs w:val="24"/>
          <w:highlight w:val="none"/>
          <w:lang w:val="en-US" w:eastAsia="zh-CN" w:bidi="en-US"/>
        </w:rPr>
        <w:t>1、服务期合同形式为</w:t>
      </w:r>
      <w:r>
        <w:rPr>
          <w:rFonts w:hint="eastAsia" w:ascii="宋体" w:hAnsi="宋体" w:eastAsia="宋体" w:cs="宋体"/>
          <w:color w:val="FF0000"/>
          <w:kern w:val="0"/>
          <w:sz w:val="24"/>
          <w:szCs w:val="24"/>
          <w:highlight w:val="none"/>
          <w:lang w:val="en-US" w:eastAsia="zh-CN" w:bidi="en-US"/>
        </w:rPr>
        <w:t>单价采购、单价合同</w:t>
      </w:r>
      <w:r>
        <w:rPr>
          <w:rFonts w:hint="eastAsia" w:ascii="宋体" w:hAnsi="宋体" w:cs="宋体"/>
          <w:color w:val="FF0000"/>
          <w:kern w:val="0"/>
          <w:sz w:val="24"/>
          <w:szCs w:val="24"/>
          <w:highlight w:val="none"/>
          <w:lang w:val="en-US" w:eastAsia="zh-CN" w:bidi="en-US"/>
        </w:rPr>
        <w:t>。</w:t>
      </w:r>
      <w:r>
        <w:rPr>
          <w:rFonts w:hint="eastAsia" w:ascii="宋体" w:hAnsi="宋体" w:eastAsia="宋体" w:cs="宋体"/>
          <w:color w:val="FF0000"/>
          <w:kern w:val="0"/>
          <w:sz w:val="24"/>
          <w:szCs w:val="24"/>
          <w:highlight w:val="none"/>
          <w:lang w:val="en-US" w:eastAsia="zh-CN" w:bidi="en-US"/>
        </w:rPr>
        <w:t>成交后按采购人要求实际供货量供货并按成交单价结算，供货及服务的累计价款以本项目预算金额95万为限</w:t>
      </w:r>
      <w:r>
        <w:rPr>
          <w:rFonts w:hint="eastAsia" w:ascii="宋体" w:hAnsi="宋体" w:cs="宋体"/>
          <w:color w:val="FF0000"/>
          <w:kern w:val="0"/>
          <w:sz w:val="24"/>
          <w:szCs w:val="24"/>
          <w:highlight w:val="none"/>
          <w:lang w:val="en-US" w:eastAsia="zh-CN" w:bidi="en-US"/>
        </w:rPr>
        <w:t>。2、质保期限：不低于5年。</w:t>
      </w:r>
    </w:p>
    <w:p>
      <w:pPr>
        <w:numPr>
          <w:ilvl w:val="0"/>
          <w:numId w:val="0"/>
        </w:numPr>
        <w:ind w:leftChars="0"/>
        <w:rPr>
          <w:rFonts w:hint="eastAsia" w:ascii="宋体" w:hAnsi="宋体" w:cs="宋体"/>
          <w:color w:val="FF0000"/>
          <w:kern w:val="0"/>
          <w:sz w:val="24"/>
          <w:szCs w:val="24"/>
          <w:highlight w:val="none"/>
          <w:lang w:val="en-US" w:eastAsia="zh-CN" w:bidi="en-US"/>
        </w:rPr>
      </w:pPr>
    </w:p>
    <w:p>
      <w:pPr>
        <w:numPr>
          <w:ilvl w:val="0"/>
          <w:numId w:val="0"/>
        </w:numPr>
        <w:rPr>
          <w:rFonts w:hint="default" w:ascii="宋体" w:hAnsi="宋体" w:cs="宋体"/>
          <w:color w:val="FF0000"/>
          <w:kern w:val="0"/>
          <w:sz w:val="24"/>
          <w:szCs w:val="24"/>
          <w:highlight w:val="none"/>
          <w:lang w:val="en-US" w:eastAsia="zh-CN" w:bidi="en-US"/>
        </w:rPr>
        <w:sectPr>
          <w:headerReference r:id="rId3" w:type="first"/>
          <w:footerReference r:id="rId5" w:type="first"/>
          <w:footerReference r:id="rId4" w:type="even"/>
          <w:pgSz w:w="11906" w:h="16838"/>
          <w:pgMar w:top="1474" w:right="1797" w:bottom="1247" w:left="1797" w:header="851" w:footer="851" w:gutter="0"/>
          <w:pgNumType w:start="1"/>
          <w:cols w:space="720" w:num="1"/>
          <w:docGrid w:linePitch="312" w:charSpace="0"/>
        </w:sectPr>
      </w:pPr>
    </w:p>
    <w:p>
      <w:pPr>
        <w:numPr>
          <w:ilvl w:val="0"/>
          <w:numId w:val="0"/>
        </w:numPr>
        <w:rPr>
          <w:rFonts w:hint="eastAsia" w:ascii="宋体" w:cs="Arial"/>
          <w:color w:val="auto"/>
          <w:kern w:val="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6"/>
      </w:rPr>
    </w:pPr>
    <w:r>
      <w:fldChar w:fldCharType="begin"/>
    </w:r>
    <w:r>
      <w:rPr>
        <w:rStyle w:val="6"/>
      </w:rPr>
      <w:instrText xml:space="preserve">PAGE  </w:instrText>
    </w:r>
    <w:r>
      <w:fldChar w:fldCharType="end"/>
    </w:r>
  </w:p>
  <w:p>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hint="eastAsia"/>
      </w:rPr>
    </w:pP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CF2C1AB"/>
    <w:multiLevelType w:val="singleLevel"/>
    <w:tmpl w:val="3CF2C1AB"/>
    <w:lvl w:ilvl="0" w:tentative="0">
      <w:start w:val="1"/>
      <w:numFmt w:val="bullet"/>
      <w:lvlText w:val=""/>
      <w:lvlJc w:val="left"/>
      <w:pPr>
        <w:ind w:left="420" w:hanging="420"/>
      </w:pPr>
      <w:rPr>
        <w:rFonts w:hint="default" w:ascii="Wingdings" w:hAnsi="Wingdings"/>
      </w:rPr>
    </w:lvl>
  </w:abstractNum>
  <w:abstractNum w:abstractNumId="1">
    <w:nsid w:val="6A2DBA3A"/>
    <w:multiLevelType w:val="singleLevel"/>
    <w:tmpl w:val="6A2DBA3A"/>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YzNDU4YTU4NWY1N2Y3OTI5MjE4YTIxNzQzMTlkMDUifQ=="/>
  </w:docVars>
  <w:rsids>
    <w:rsidRoot w:val="00000000"/>
    <w:rsid w:val="18BB04AC"/>
    <w:rsid w:val="4A9F2ECE"/>
    <w:rsid w:val="50795EBF"/>
    <w:rsid w:val="7A6C7C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jc w:val="center"/>
      <w:outlineLvl w:val="0"/>
    </w:pPr>
    <w:rPr>
      <w:b/>
      <w:bCs/>
      <w:kern w:val="0"/>
      <w:sz w:val="24"/>
    </w:rPr>
  </w:style>
  <w:style w:type="character" w:default="1" w:styleId="5">
    <w:name w:val="Default Paragraph Font"/>
    <w:autoRedefine/>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footer"/>
    <w:basedOn w:val="1"/>
    <w:uiPriority w:val="99"/>
    <w:pPr>
      <w:tabs>
        <w:tab w:val="center" w:pos="4153"/>
        <w:tab w:val="right" w:pos="8306"/>
      </w:tabs>
      <w:snapToGrid w:val="0"/>
      <w:jc w:val="left"/>
    </w:pPr>
    <w:rPr>
      <w:rFonts w:eastAsia="黑体"/>
      <w:snapToGrid w:val="0"/>
      <w:kern w:val="0"/>
      <w:sz w:val="18"/>
      <w:szCs w:val="18"/>
    </w:rPr>
  </w:style>
  <w:style w:type="character" w:styleId="6">
    <w:name w:val="page number"/>
    <w:basedOn w:val="5"/>
    <w:uiPriority w:val="99"/>
  </w:style>
  <w:style w:type="paragraph" w:styleId="7">
    <w:name w:val="List Paragraph"/>
    <w:basedOn w:val="1"/>
    <w:autoRedefine/>
    <w:qFormat/>
    <w:uiPriority w:val="34"/>
    <w:pPr>
      <w:widowControl/>
      <w:ind w:left="720" w:firstLine="360"/>
      <w:contextualSpacing/>
      <w:jc w:val="left"/>
    </w:pPr>
    <w:rPr>
      <w:rFonts w:ascii="Calibri" w:hAnsi="Calibri"/>
      <w:kern w:val="0"/>
      <w:sz w:val="22"/>
      <w:szCs w:val="22"/>
      <w:lang w:eastAsia="en-US" w:bidi="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7</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2024-05-06T02:25:00Z</dcterms:created>
  <dc:creator>admin</dc:creator>
  <cp:lastModifiedBy>沫沫（陈斯尧）</cp:lastModifiedBy>
  <dcterms:modified xsi:type="dcterms:W3CDTF">2024-05-06T06:36:20Z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DB9207C0FB2F490E97DC9A8DB49C30CD_12</vt:lpwstr>
  </property>
</Properties>
</file>