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07108">
      <w:pPr>
        <w:autoSpaceDE w:val="0"/>
        <w:autoSpaceDN w:val="0"/>
        <w:adjustRightInd w:val="0"/>
        <w:snapToGrid w:val="0"/>
        <w:jc w:val="center"/>
        <w:rPr>
          <w:rFonts w:ascii="宋体"/>
          <w:b/>
          <w:sz w:val="56"/>
          <w:szCs w:val="56"/>
          <w:lang w:val="zh-CN"/>
        </w:rPr>
      </w:pPr>
    </w:p>
    <w:p w14:paraId="35464900">
      <w:pPr>
        <w:autoSpaceDE w:val="0"/>
        <w:autoSpaceDN w:val="0"/>
        <w:adjustRightInd w:val="0"/>
        <w:snapToGrid w:val="0"/>
        <w:jc w:val="center"/>
        <w:rPr>
          <w:rFonts w:ascii="宋体"/>
          <w:b/>
          <w:sz w:val="56"/>
          <w:szCs w:val="56"/>
          <w:lang w:val="zh-CN"/>
        </w:rPr>
      </w:pPr>
    </w:p>
    <w:p w14:paraId="0EC0060F">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14:paraId="4F776057">
      <w:pPr>
        <w:autoSpaceDE w:val="0"/>
        <w:autoSpaceDN w:val="0"/>
        <w:adjustRightInd w:val="0"/>
        <w:snapToGrid w:val="0"/>
        <w:jc w:val="center"/>
        <w:rPr>
          <w:rFonts w:ascii="宋体"/>
          <w:sz w:val="56"/>
          <w:szCs w:val="56"/>
          <w:lang w:val="zh-CN"/>
        </w:rPr>
      </w:pPr>
    </w:p>
    <w:p w14:paraId="09114349">
      <w:pPr>
        <w:autoSpaceDE w:val="0"/>
        <w:autoSpaceDN w:val="0"/>
        <w:adjustRightInd w:val="0"/>
        <w:snapToGrid w:val="0"/>
        <w:jc w:val="center"/>
        <w:rPr>
          <w:rFonts w:ascii="宋体"/>
          <w:sz w:val="56"/>
          <w:szCs w:val="56"/>
          <w:lang w:val="zh-CN"/>
        </w:rPr>
      </w:pPr>
    </w:p>
    <w:p w14:paraId="0E82F0E6">
      <w:pPr>
        <w:pStyle w:val="8"/>
        <w:ind w:left="1168" w:hanging="1168"/>
        <w:rPr>
          <w:rFonts w:ascii="宋体"/>
          <w:sz w:val="56"/>
          <w:szCs w:val="56"/>
          <w:lang w:val="zh-CN"/>
        </w:rPr>
      </w:pPr>
    </w:p>
    <w:p w14:paraId="47A9F3DA">
      <w:pPr>
        <w:pStyle w:val="8"/>
        <w:ind w:left="1168" w:hanging="1168"/>
        <w:rPr>
          <w:rFonts w:ascii="宋体"/>
          <w:sz w:val="56"/>
          <w:szCs w:val="56"/>
          <w:lang w:val="zh-CN"/>
        </w:rPr>
      </w:pPr>
    </w:p>
    <w:p w14:paraId="2E6D8F1A">
      <w:pPr>
        <w:autoSpaceDE w:val="0"/>
        <w:autoSpaceDN w:val="0"/>
        <w:adjustRightInd w:val="0"/>
        <w:snapToGrid w:val="0"/>
        <w:jc w:val="center"/>
        <w:rPr>
          <w:rFonts w:ascii="宋体"/>
          <w:sz w:val="56"/>
          <w:szCs w:val="56"/>
          <w:lang w:val="zh-CN"/>
        </w:rPr>
      </w:pPr>
    </w:p>
    <w:p w14:paraId="7833AD65">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14:paraId="14988D4A">
      <w:pPr>
        <w:autoSpaceDE w:val="0"/>
        <w:autoSpaceDN w:val="0"/>
        <w:adjustRightInd w:val="0"/>
        <w:snapToGrid w:val="0"/>
        <w:jc w:val="center"/>
        <w:rPr>
          <w:sz w:val="56"/>
          <w:szCs w:val="56"/>
          <w:lang w:val="zh-CN"/>
        </w:rPr>
      </w:pPr>
    </w:p>
    <w:p w14:paraId="02CE7839">
      <w:pPr>
        <w:autoSpaceDE w:val="0"/>
        <w:autoSpaceDN w:val="0"/>
        <w:adjustRightInd w:val="0"/>
        <w:snapToGrid w:val="0"/>
        <w:jc w:val="center"/>
        <w:rPr>
          <w:sz w:val="56"/>
          <w:szCs w:val="56"/>
          <w:lang w:val="zh-CN"/>
        </w:rPr>
      </w:pPr>
    </w:p>
    <w:p w14:paraId="62ECF0F5">
      <w:pPr>
        <w:autoSpaceDE w:val="0"/>
        <w:autoSpaceDN w:val="0"/>
        <w:adjustRightInd w:val="0"/>
        <w:snapToGrid w:val="0"/>
        <w:jc w:val="center"/>
        <w:rPr>
          <w:sz w:val="56"/>
          <w:szCs w:val="56"/>
          <w:lang w:val="zh-CN"/>
        </w:rPr>
      </w:pPr>
    </w:p>
    <w:p w14:paraId="3AF89DE0">
      <w:pPr>
        <w:autoSpaceDE w:val="0"/>
        <w:autoSpaceDN w:val="0"/>
        <w:adjustRightInd w:val="0"/>
        <w:snapToGrid w:val="0"/>
        <w:jc w:val="center"/>
        <w:rPr>
          <w:sz w:val="56"/>
          <w:szCs w:val="56"/>
          <w:lang w:val="zh-CN"/>
        </w:rPr>
      </w:pPr>
    </w:p>
    <w:p w14:paraId="587D1863">
      <w:pPr>
        <w:autoSpaceDE w:val="0"/>
        <w:autoSpaceDN w:val="0"/>
        <w:adjustRightInd w:val="0"/>
        <w:snapToGrid w:val="0"/>
        <w:jc w:val="center"/>
        <w:rPr>
          <w:sz w:val="56"/>
          <w:szCs w:val="56"/>
          <w:lang w:val="zh-CN"/>
        </w:rPr>
      </w:pPr>
    </w:p>
    <w:p w14:paraId="76A71210">
      <w:pPr>
        <w:autoSpaceDE w:val="0"/>
        <w:autoSpaceDN w:val="0"/>
        <w:adjustRightInd w:val="0"/>
        <w:snapToGrid w:val="0"/>
        <w:jc w:val="center"/>
        <w:rPr>
          <w:sz w:val="56"/>
          <w:szCs w:val="56"/>
          <w:lang w:val="zh-CN"/>
        </w:rPr>
      </w:pPr>
    </w:p>
    <w:p w14:paraId="1F057A76">
      <w:pPr>
        <w:pStyle w:val="8"/>
        <w:ind w:left="1168" w:hanging="1168"/>
        <w:rPr>
          <w:sz w:val="56"/>
          <w:szCs w:val="56"/>
          <w:lang w:val="zh-CN"/>
        </w:rPr>
      </w:pPr>
    </w:p>
    <w:p w14:paraId="01103873">
      <w:pPr>
        <w:pStyle w:val="8"/>
        <w:ind w:left="1168" w:hanging="1168"/>
        <w:rPr>
          <w:sz w:val="56"/>
          <w:szCs w:val="56"/>
          <w:lang w:val="zh-CN"/>
        </w:rPr>
      </w:pPr>
    </w:p>
    <w:p w14:paraId="1CDFB380">
      <w:pPr>
        <w:pStyle w:val="8"/>
        <w:ind w:left="1168" w:hanging="1168"/>
        <w:rPr>
          <w:sz w:val="56"/>
          <w:szCs w:val="56"/>
          <w:lang w:val="zh-CN"/>
        </w:rPr>
      </w:pPr>
    </w:p>
    <w:p w14:paraId="2F44DEE5">
      <w:pPr>
        <w:autoSpaceDE w:val="0"/>
        <w:autoSpaceDN w:val="0"/>
        <w:adjustRightInd w:val="0"/>
        <w:snapToGrid w:val="0"/>
        <w:spacing w:line="360" w:lineRule="auto"/>
        <w:jc w:val="center"/>
        <w:rPr>
          <w:rFonts w:hint="eastAsia" w:ascii="宋体"/>
          <w:sz w:val="40"/>
          <w:szCs w:val="56"/>
          <w:lang w:val="en-US" w:eastAsia="zh-CN"/>
        </w:rPr>
      </w:pPr>
      <w:r>
        <w:rPr>
          <w:rFonts w:hint="eastAsia" w:ascii="宋体"/>
          <w:sz w:val="40"/>
          <w:szCs w:val="56"/>
          <w:lang w:val="zh-CN"/>
        </w:rPr>
        <w:t>项目名称：</w:t>
      </w:r>
      <w:r>
        <w:rPr>
          <w:rFonts w:hint="eastAsia" w:ascii="宋体"/>
          <w:sz w:val="40"/>
          <w:szCs w:val="56"/>
          <w:lang w:val="en-US" w:eastAsia="zh-CN"/>
        </w:rPr>
        <w:t>浙江大学医学院附属第一医院</w:t>
      </w:r>
    </w:p>
    <w:p w14:paraId="3A35106B">
      <w:pPr>
        <w:autoSpaceDE w:val="0"/>
        <w:autoSpaceDN w:val="0"/>
        <w:adjustRightInd w:val="0"/>
        <w:snapToGrid w:val="0"/>
        <w:spacing w:line="360" w:lineRule="auto"/>
        <w:jc w:val="center"/>
        <w:rPr>
          <w:rFonts w:hint="default" w:ascii="宋体"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en-US" w:eastAsia="zh-CN"/>
        </w:rPr>
        <w:t xml:space="preserve"> 城站院区提升改造一期工程消防技术咨询服务</w:t>
      </w:r>
    </w:p>
    <w:p w14:paraId="22505561">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14:paraId="3C5230D1">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14:paraId="5C93A6FA">
      <w:pPr>
        <w:pStyle w:val="8"/>
        <w:ind w:left="528" w:hanging="528"/>
        <w:rPr>
          <w:lang w:val="zh-CN"/>
        </w:rPr>
      </w:pPr>
    </w:p>
    <w:p w14:paraId="77A0A154">
      <w:pPr>
        <w:autoSpaceDE w:val="0"/>
        <w:autoSpaceDN w:val="0"/>
        <w:adjustRightInd w:val="0"/>
        <w:snapToGrid w:val="0"/>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zh-CN"/>
        </w:rPr>
        <w:t>一、询价品目</w:t>
      </w:r>
    </w:p>
    <w:tbl>
      <w:tblPr>
        <w:tblStyle w:val="9"/>
        <w:tblW w:w="5285" w:type="pct"/>
        <w:jc w:val="center"/>
        <w:tblLayout w:type="fixed"/>
        <w:tblCellMar>
          <w:top w:w="0" w:type="dxa"/>
          <w:left w:w="108" w:type="dxa"/>
          <w:bottom w:w="0" w:type="dxa"/>
          <w:right w:w="108" w:type="dxa"/>
        </w:tblCellMar>
      </w:tblPr>
      <w:tblGrid>
        <w:gridCol w:w="679"/>
        <w:gridCol w:w="3086"/>
        <w:gridCol w:w="896"/>
        <w:gridCol w:w="2768"/>
        <w:gridCol w:w="1579"/>
      </w:tblGrid>
      <w:tr w14:paraId="2C8CA39F">
        <w:tblPrEx>
          <w:tblCellMar>
            <w:top w:w="0" w:type="dxa"/>
            <w:left w:w="108" w:type="dxa"/>
            <w:bottom w:w="0" w:type="dxa"/>
            <w:right w:w="108" w:type="dxa"/>
          </w:tblCellMar>
        </w:tblPrEx>
        <w:trPr>
          <w:trHeight w:val="465" w:hRule="atLeast"/>
          <w:jc w:val="center"/>
        </w:trPr>
        <w:tc>
          <w:tcPr>
            <w:tcW w:w="3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F4E6A8">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序号</w:t>
            </w:r>
          </w:p>
        </w:tc>
        <w:tc>
          <w:tcPr>
            <w:tcW w:w="1712" w:type="pct"/>
            <w:tcBorders>
              <w:top w:val="single" w:color="auto" w:sz="4" w:space="0"/>
              <w:left w:val="nil"/>
              <w:bottom w:val="single" w:color="auto" w:sz="4" w:space="0"/>
              <w:right w:val="single" w:color="auto" w:sz="4" w:space="0"/>
            </w:tcBorders>
            <w:shd w:val="clear" w:color="000000" w:fill="FFFFFF"/>
            <w:vAlign w:val="center"/>
          </w:tcPr>
          <w:p w14:paraId="2093EFF2">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项目名称</w:t>
            </w:r>
          </w:p>
        </w:tc>
        <w:tc>
          <w:tcPr>
            <w:tcW w:w="497" w:type="pct"/>
            <w:tcBorders>
              <w:top w:val="single" w:color="auto" w:sz="4" w:space="0"/>
              <w:left w:val="nil"/>
              <w:bottom w:val="single" w:color="auto" w:sz="4" w:space="0"/>
              <w:right w:val="single" w:color="auto" w:sz="4" w:space="0"/>
            </w:tcBorders>
            <w:shd w:val="clear" w:color="000000" w:fill="FFFFFF"/>
            <w:vAlign w:val="center"/>
          </w:tcPr>
          <w:p w14:paraId="7E6B404B">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采购方式</w:t>
            </w:r>
          </w:p>
        </w:tc>
        <w:tc>
          <w:tcPr>
            <w:tcW w:w="1536" w:type="pct"/>
            <w:tcBorders>
              <w:top w:val="single" w:color="auto" w:sz="4" w:space="0"/>
              <w:left w:val="nil"/>
              <w:bottom w:val="single" w:color="auto" w:sz="4" w:space="0"/>
              <w:right w:val="single" w:color="auto" w:sz="4" w:space="0"/>
            </w:tcBorders>
            <w:shd w:val="clear" w:color="000000" w:fill="FFFFFF"/>
            <w:vAlign w:val="center"/>
          </w:tcPr>
          <w:p w14:paraId="1E9D15F2">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服务要求</w:t>
            </w:r>
          </w:p>
        </w:tc>
        <w:tc>
          <w:tcPr>
            <w:tcW w:w="876" w:type="pct"/>
            <w:tcBorders>
              <w:top w:val="single" w:color="auto" w:sz="4" w:space="0"/>
              <w:left w:val="nil"/>
              <w:bottom w:val="single" w:color="auto" w:sz="4" w:space="0"/>
              <w:right w:val="single" w:color="auto" w:sz="4" w:space="0"/>
            </w:tcBorders>
            <w:shd w:val="clear" w:color="000000" w:fill="FFFFFF"/>
            <w:vAlign w:val="center"/>
          </w:tcPr>
          <w:p w14:paraId="2F3ECA9A">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en-US" w:eastAsia="zh-CN"/>
              </w:rPr>
              <w:t>最高限价（万元）</w:t>
            </w:r>
          </w:p>
        </w:tc>
      </w:tr>
      <w:tr w14:paraId="1626319C">
        <w:tblPrEx>
          <w:tblCellMar>
            <w:top w:w="0" w:type="dxa"/>
            <w:left w:w="108" w:type="dxa"/>
            <w:bottom w:w="0" w:type="dxa"/>
            <w:right w:w="108" w:type="dxa"/>
          </w:tblCellMar>
        </w:tblPrEx>
        <w:trPr>
          <w:trHeight w:val="465" w:hRule="atLeast"/>
          <w:jc w:val="center"/>
        </w:trPr>
        <w:tc>
          <w:tcPr>
            <w:tcW w:w="3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BDAE08">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1</w:t>
            </w:r>
          </w:p>
        </w:tc>
        <w:tc>
          <w:tcPr>
            <w:tcW w:w="1712" w:type="pct"/>
            <w:tcBorders>
              <w:top w:val="single" w:color="auto" w:sz="4" w:space="0"/>
              <w:left w:val="nil"/>
              <w:bottom w:val="single" w:color="auto" w:sz="4" w:space="0"/>
              <w:right w:val="single" w:color="auto" w:sz="4" w:space="0"/>
            </w:tcBorders>
            <w:shd w:val="clear" w:color="000000" w:fill="FFFFFF"/>
            <w:vAlign w:val="center"/>
          </w:tcPr>
          <w:p w14:paraId="55ED6D62">
            <w:pPr>
              <w:autoSpaceDE w:val="0"/>
              <w:autoSpaceDN w:val="0"/>
              <w:adjustRightInd w:val="0"/>
              <w:snapToGrid w:val="0"/>
              <w:rPr>
                <w:rFonts w:hint="default" w:ascii="仿宋_GB2312" w:eastAsia="仿宋_GB2312"/>
                <w:sz w:val="28"/>
                <w:szCs w:val="28"/>
                <w:lang w:val="en-US"/>
              </w:rPr>
            </w:pPr>
            <w:r>
              <w:rPr>
                <w:rFonts w:hint="eastAsia" w:ascii="仿宋_GB2312" w:hAnsi="Times New Roman" w:eastAsia="仿宋_GB2312" w:cs="Times New Roman"/>
                <w:sz w:val="28"/>
                <w:szCs w:val="28"/>
                <w:lang w:val="en-US" w:eastAsia="zh-CN"/>
              </w:rPr>
              <w:t>浙江大学医学院附属第一医院城站院区提升改造一期工程消防技术咨询服务</w:t>
            </w:r>
          </w:p>
        </w:tc>
        <w:tc>
          <w:tcPr>
            <w:tcW w:w="497" w:type="pct"/>
            <w:tcBorders>
              <w:top w:val="single" w:color="auto" w:sz="4" w:space="0"/>
              <w:left w:val="nil"/>
              <w:bottom w:val="single" w:color="auto" w:sz="4" w:space="0"/>
              <w:right w:val="single" w:color="auto" w:sz="4" w:space="0"/>
            </w:tcBorders>
            <w:shd w:val="clear" w:color="000000" w:fill="FFFFFF"/>
            <w:vAlign w:val="center"/>
          </w:tcPr>
          <w:p w14:paraId="0943A5B1">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院内询价</w:t>
            </w:r>
          </w:p>
        </w:tc>
        <w:tc>
          <w:tcPr>
            <w:tcW w:w="1536" w:type="pct"/>
            <w:tcBorders>
              <w:top w:val="single" w:color="auto" w:sz="4" w:space="0"/>
              <w:left w:val="nil"/>
              <w:bottom w:val="single" w:color="auto" w:sz="4" w:space="0"/>
              <w:right w:val="single" w:color="auto" w:sz="4" w:space="0"/>
            </w:tcBorders>
            <w:shd w:val="clear" w:color="000000" w:fill="FFFFFF"/>
            <w:vAlign w:val="center"/>
          </w:tcPr>
          <w:p w14:paraId="65C8D637">
            <w:pPr>
              <w:autoSpaceDE w:val="0"/>
              <w:autoSpaceDN w:val="0"/>
              <w:adjustRightInd w:val="0"/>
              <w:snapToGrid w:val="0"/>
              <w:rPr>
                <w:rFonts w:hint="default"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城站院区</w:t>
            </w:r>
          </w:p>
          <w:p w14:paraId="70A002D8">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内容：</w:t>
            </w:r>
            <w:r>
              <w:rPr>
                <w:rFonts w:hint="eastAsia" w:ascii="仿宋_GB2312" w:hAnsi="Times New Roman" w:eastAsia="仿宋_GB2312" w:cs="Times New Roman"/>
                <w:sz w:val="28"/>
                <w:szCs w:val="28"/>
                <w:lang w:val="en-US" w:eastAsia="zh-CN"/>
              </w:rPr>
              <w:t>消防技术咨询服务</w:t>
            </w:r>
          </w:p>
        </w:tc>
        <w:tc>
          <w:tcPr>
            <w:tcW w:w="876" w:type="pct"/>
            <w:tcBorders>
              <w:top w:val="single" w:color="auto" w:sz="4" w:space="0"/>
              <w:left w:val="nil"/>
              <w:bottom w:val="single" w:color="auto" w:sz="4" w:space="0"/>
              <w:right w:val="single" w:color="auto" w:sz="4" w:space="0"/>
            </w:tcBorders>
            <w:shd w:val="clear" w:color="000000" w:fill="FFFFFF"/>
            <w:vAlign w:val="center"/>
          </w:tcPr>
          <w:p w14:paraId="6F2C4316">
            <w:pPr>
              <w:autoSpaceDE w:val="0"/>
              <w:autoSpaceDN w:val="0"/>
              <w:adjustRightInd w:val="0"/>
              <w:snapToGrid w:val="0"/>
              <w:ind w:firstLine="280" w:firstLineChars="100"/>
              <w:rPr>
                <w:rFonts w:hint="default" w:ascii="仿宋_GB2312" w:eastAsia="仿宋_GB2312"/>
                <w:sz w:val="28"/>
                <w:szCs w:val="28"/>
                <w:lang w:val="en-US" w:eastAsia="zh-CN"/>
              </w:rPr>
            </w:pPr>
            <w:r>
              <w:rPr>
                <w:rFonts w:hint="eastAsia" w:ascii="仿宋_GB2312" w:eastAsia="仿宋_GB2312"/>
                <w:sz w:val="28"/>
                <w:szCs w:val="28"/>
                <w:lang w:val="en-US" w:eastAsia="zh-CN"/>
              </w:rPr>
              <w:t>10万元</w:t>
            </w:r>
          </w:p>
        </w:tc>
      </w:tr>
    </w:tbl>
    <w:p w14:paraId="17291078">
      <w:pPr>
        <w:pStyle w:val="8"/>
      </w:pPr>
    </w:p>
    <w:p w14:paraId="4F5FD34E">
      <w:pPr>
        <w:autoSpaceDE w:val="0"/>
        <w:autoSpaceDN w:val="0"/>
        <w:adjustRightInd w:val="0"/>
        <w:snapToGrid w:val="0"/>
        <w:rPr>
          <w:rFonts w:ascii="仿宋_GB2312" w:eastAsia="仿宋_GB2312"/>
          <w:b/>
          <w:bCs/>
          <w:sz w:val="28"/>
          <w:szCs w:val="28"/>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bCs/>
          <w:sz w:val="28"/>
          <w:szCs w:val="28"/>
        </w:rPr>
        <w:t>服务范围及内容：</w:t>
      </w:r>
    </w:p>
    <w:p w14:paraId="641B651F">
      <w:pPr>
        <w:adjustRightInd w:val="0"/>
        <w:snapToGrid w:val="0"/>
        <w:spacing w:line="300" w:lineRule="auto"/>
        <w:ind w:firstLine="640"/>
        <w:rPr>
          <w:rFonts w:hint="eastAsia" w:ascii="仿宋_GB2312" w:hAnsi="Times New Roman" w:eastAsia="仿宋_GB2312" w:cs="Times New Roman"/>
          <w:spacing w:val="0"/>
          <w:kern w:val="2"/>
          <w:sz w:val="28"/>
          <w:szCs w:val="28"/>
          <w:lang w:val="en-US" w:eastAsia="zh-CN" w:bidi="ar-SA"/>
        </w:rPr>
      </w:pPr>
      <w:r>
        <w:rPr>
          <w:rFonts w:hint="eastAsia" w:ascii="仿宋_GB2312" w:hAnsi="Times New Roman" w:eastAsia="仿宋_GB2312" w:cs="Times New Roman"/>
          <w:spacing w:val="0"/>
          <w:kern w:val="2"/>
          <w:sz w:val="28"/>
          <w:szCs w:val="28"/>
          <w:lang w:val="en-US" w:eastAsia="zh-CN" w:bidi="ar-SA"/>
        </w:rPr>
        <w:t xml:space="preserve">浙江大学医学院附属第一医院城站院区提升改造一期工程为地铁上盖的医疗综合楼，位于杭州市上城区城站路58号，西湖大道和城 站路交叉口东北侧，南邻西湖道，西邻城站路，在浙江大学医学院附属第一医院城站院区内，项目地上6层，地下室1层。本工程设计床位数110个，总用地面积7629.79平方米，总建筑面积10622.85平方米，其中地上建筑面积9155.70平方米，地下建筑面积1467.15平方米。 </w:t>
      </w:r>
    </w:p>
    <w:p w14:paraId="7411A4CD">
      <w:pPr>
        <w:adjustRightInd w:val="0"/>
        <w:snapToGrid w:val="0"/>
        <w:spacing w:line="300" w:lineRule="auto"/>
        <w:ind w:firstLine="640"/>
        <w:rPr>
          <w:rFonts w:hint="eastAsia" w:ascii="仿宋_GB2312" w:hAnsi="Times New Roman" w:eastAsia="仿宋_GB2312" w:cs="Times New Roman"/>
          <w:spacing w:val="0"/>
          <w:kern w:val="2"/>
          <w:sz w:val="28"/>
          <w:szCs w:val="28"/>
          <w:lang w:val="en-US" w:eastAsia="zh-CN" w:bidi="ar-SA"/>
        </w:rPr>
      </w:pPr>
      <w:r>
        <w:rPr>
          <w:rFonts w:hint="eastAsia" w:ascii="仿宋_GB2312" w:hAnsi="Times New Roman" w:eastAsia="仿宋_GB2312" w:cs="Times New Roman"/>
          <w:spacing w:val="0"/>
          <w:kern w:val="2"/>
          <w:sz w:val="28"/>
          <w:szCs w:val="28"/>
          <w:lang w:val="en-US" w:eastAsia="zh-CN" w:bidi="ar-SA"/>
        </w:rPr>
        <w:t>针对本项目与北侧</w:t>
      </w:r>
      <w:r>
        <w:rPr>
          <w:rFonts w:hint="eastAsia" w:ascii="仿宋_GB2312" w:hAnsi="Times New Roman" w:eastAsia="仿宋_GB2312" w:cs="Times New Roman"/>
          <w:spacing w:val="0"/>
          <w:kern w:val="2"/>
          <w:sz w:val="28"/>
          <w:szCs w:val="28"/>
          <w:lang w:val="en-US" w:eastAsia="zh-CN" w:bidi="ar-SA"/>
        </w:rPr>
        <w:fldChar w:fldCharType="begin"/>
      </w:r>
      <w:r>
        <w:rPr>
          <w:rFonts w:hint="eastAsia" w:ascii="仿宋_GB2312" w:hAnsi="Times New Roman" w:eastAsia="仿宋_GB2312" w:cs="Times New Roman"/>
          <w:spacing w:val="0"/>
          <w:kern w:val="2"/>
          <w:sz w:val="28"/>
          <w:szCs w:val="28"/>
          <w:lang w:val="en-US" w:eastAsia="zh-CN" w:bidi="ar-SA"/>
        </w:rPr>
        <w:instrText xml:space="preserve"> HYPERLINK "https://www.so.com/link?m=eeBuZLSqUuIOUuXAx8Mhe+77bEvS7YzPuAX36q4JerUCdviid4/c4/GSjyW1dTJsGcXQCbBW3oat2QZjD7rQomOYHLom0clrn3gNYsp72qmjD7Y5O2vgLeDvtI8xK0PxGb1wnTJkMZs5eCMbIkR2JlfMxnehTwGc4j8vLq2ZgjHlc6C2TeL7bIvJcijawLlnMWKkopnujUdbVXAE0fmVgrcZD5Sy5wa/jph5CBrhXktg=" \t "https://www.so.com/_blank" </w:instrText>
      </w:r>
      <w:r>
        <w:rPr>
          <w:rFonts w:hint="eastAsia" w:ascii="仿宋_GB2312" w:hAnsi="Times New Roman" w:eastAsia="仿宋_GB2312" w:cs="Times New Roman"/>
          <w:spacing w:val="0"/>
          <w:kern w:val="2"/>
          <w:sz w:val="28"/>
          <w:szCs w:val="28"/>
          <w:lang w:val="en-US" w:eastAsia="zh-CN" w:bidi="ar-SA"/>
        </w:rPr>
        <w:fldChar w:fldCharType="separate"/>
      </w:r>
      <w:r>
        <w:rPr>
          <w:rFonts w:hint="eastAsia" w:ascii="仿宋_GB2312" w:hAnsi="Times New Roman" w:eastAsia="仿宋_GB2312" w:cs="Times New Roman"/>
          <w:spacing w:val="0"/>
          <w:kern w:val="2"/>
          <w:sz w:val="28"/>
          <w:szCs w:val="28"/>
          <w:lang w:val="en-US" w:eastAsia="zh-CN" w:bidi="ar-SA"/>
        </w:rPr>
        <w:t>中国铁路上海局集团有限公司</w:t>
      </w:r>
      <w:r>
        <w:rPr>
          <w:rFonts w:hint="eastAsia" w:ascii="仿宋_GB2312" w:hAnsi="Times New Roman" w:eastAsia="仿宋_GB2312" w:cs="Times New Roman"/>
          <w:spacing w:val="0"/>
          <w:kern w:val="2"/>
          <w:sz w:val="28"/>
          <w:szCs w:val="28"/>
          <w:lang w:val="en-US" w:eastAsia="zh-CN" w:bidi="ar-SA"/>
        </w:rPr>
        <w:fldChar w:fldCharType="end"/>
      </w:r>
      <w:r>
        <w:rPr>
          <w:rFonts w:hint="eastAsia" w:ascii="仿宋_GB2312" w:eastAsia="仿宋_GB2312" w:cs="Times New Roman"/>
          <w:spacing w:val="0"/>
          <w:kern w:val="2"/>
          <w:sz w:val="28"/>
          <w:szCs w:val="28"/>
          <w:lang w:val="en-US" w:eastAsia="zh-CN" w:bidi="ar-SA"/>
        </w:rPr>
        <w:t>杭州电务段办公用房</w:t>
      </w:r>
      <w:r>
        <w:rPr>
          <w:rFonts w:hint="eastAsia" w:ascii="仿宋_GB2312" w:hAnsi="Times New Roman" w:eastAsia="仿宋_GB2312" w:cs="Times New Roman"/>
          <w:spacing w:val="0"/>
          <w:kern w:val="2"/>
          <w:sz w:val="28"/>
          <w:szCs w:val="28"/>
          <w:lang w:val="en-US" w:eastAsia="zh-CN" w:bidi="ar-SA"/>
        </w:rPr>
        <w:t>防火间距不足</w:t>
      </w:r>
      <w:r>
        <w:rPr>
          <w:rFonts w:hint="eastAsia" w:ascii="仿宋_GB2312" w:eastAsia="仿宋_GB2312" w:cs="Times New Roman"/>
          <w:spacing w:val="0"/>
          <w:kern w:val="2"/>
          <w:sz w:val="28"/>
          <w:szCs w:val="28"/>
          <w:lang w:val="en-US" w:eastAsia="zh-CN" w:bidi="ar-SA"/>
        </w:rPr>
        <w:t>的</w:t>
      </w:r>
      <w:r>
        <w:rPr>
          <w:rFonts w:hint="eastAsia" w:ascii="仿宋_GB2312" w:hAnsi="Times New Roman" w:eastAsia="仿宋_GB2312" w:cs="Times New Roman"/>
          <w:spacing w:val="0"/>
          <w:kern w:val="2"/>
          <w:sz w:val="28"/>
          <w:szCs w:val="28"/>
          <w:lang w:val="en-US" w:eastAsia="zh-CN" w:bidi="ar-SA"/>
        </w:rPr>
        <w:t>问题，</w:t>
      </w:r>
      <w:r>
        <w:rPr>
          <w:rFonts w:hint="eastAsia" w:ascii="仿宋_GB2312" w:eastAsia="仿宋_GB2312" w:cs="Times New Roman"/>
          <w:spacing w:val="0"/>
          <w:kern w:val="2"/>
          <w:sz w:val="28"/>
          <w:szCs w:val="28"/>
          <w:lang w:val="en-US" w:eastAsia="zh-CN" w:bidi="ar-SA"/>
        </w:rPr>
        <w:t>拟采用仅对一、二两层楼梯间窗洞进行封堵的方案，</w:t>
      </w:r>
      <w:r>
        <w:rPr>
          <w:rFonts w:hint="eastAsia" w:ascii="仿宋_GB2312" w:hAnsi="Times New Roman" w:eastAsia="仿宋_GB2312" w:cs="Times New Roman"/>
          <w:spacing w:val="0"/>
          <w:kern w:val="2"/>
          <w:sz w:val="28"/>
          <w:szCs w:val="28"/>
          <w:lang w:val="en-US" w:eastAsia="zh-CN" w:bidi="ar-SA"/>
        </w:rPr>
        <w:t>采用消防性能化分析的方法，将火灾辐射热强度和人员疏散模拟相结合，分析评估</w:t>
      </w:r>
      <w:r>
        <w:rPr>
          <w:rFonts w:hint="eastAsia" w:ascii="仿宋_GB2312" w:eastAsia="仿宋_GB2312" w:cs="Times New Roman"/>
          <w:spacing w:val="0"/>
          <w:kern w:val="2"/>
          <w:sz w:val="28"/>
          <w:szCs w:val="28"/>
          <w:lang w:val="en-US" w:eastAsia="zh-CN" w:bidi="ar-SA"/>
        </w:rPr>
        <w:t>封堵后的</w:t>
      </w:r>
      <w:r>
        <w:rPr>
          <w:rFonts w:hint="eastAsia" w:ascii="仿宋_GB2312" w:hAnsi="Times New Roman" w:eastAsia="仿宋_GB2312" w:cs="Times New Roman"/>
          <w:spacing w:val="0"/>
          <w:kern w:val="2"/>
          <w:sz w:val="28"/>
          <w:szCs w:val="28"/>
          <w:lang w:val="en-US" w:eastAsia="zh-CN" w:bidi="ar-SA"/>
        </w:rPr>
        <w:t>设计方案</w:t>
      </w:r>
      <w:r>
        <w:rPr>
          <w:rFonts w:hint="eastAsia" w:ascii="仿宋_GB2312" w:eastAsia="仿宋_GB2312" w:cs="Times New Roman"/>
          <w:spacing w:val="0"/>
          <w:kern w:val="2"/>
          <w:sz w:val="28"/>
          <w:szCs w:val="28"/>
          <w:lang w:val="en-US" w:eastAsia="zh-CN" w:bidi="ar-SA"/>
        </w:rPr>
        <w:t>，</w:t>
      </w:r>
      <w:r>
        <w:rPr>
          <w:rFonts w:hint="eastAsia" w:ascii="仿宋_GB2312" w:hAnsi="Times New Roman" w:eastAsia="仿宋_GB2312" w:cs="Times New Roman"/>
          <w:spacing w:val="0"/>
          <w:kern w:val="2"/>
          <w:sz w:val="28"/>
          <w:szCs w:val="28"/>
          <w:lang w:val="en-US" w:eastAsia="zh-CN" w:bidi="ar-SA"/>
        </w:rPr>
        <w:t>实现</w:t>
      </w:r>
      <w:r>
        <w:rPr>
          <w:rFonts w:hint="eastAsia" w:ascii="仿宋_GB2312" w:eastAsia="仿宋_GB2312" w:cs="Times New Roman"/>
          <w:spacing w:val="0"/>
          <w:kern w:val="2"/>
          <w:sz w:val="28"/>
          <w:szCs w:val="28"/>
          <w:lang w:val="en-US" w:eastAsia="zh-CN" w:bidi="ar-SA"/>
        </w:rPr>
        <w:t>该方案的</w:t>
      </w:r>
      <w:r>
        <w:rPr>
          <w:rFonts w:hint="eastAsia" w:ascii="仿宋_GB2312" w:hAnsi="Times New Roman" w:eastAsia="仿宋_GB2312" w:cs="Times New Roman"/>
          <w:spacing w:val="0"/>
          <w:kern w:val="2"/>
          <w:sz w:val="28"/>
          <w:szCs w:val="28"/>
          <w:lang w:val="en-US" w:eastAsia="zh-CN" w:bidi="ar-SA"/>
        </w:rPr>
        <w:t>消防安全目标，协助组织专家论证会，并根据技术分析及专家论证意见，最终出具对应问题的消防技术咨询报告</w:t>
      </w:r>
      <w:r>
        <w:rPr>
          <w:rFonts w:hint="eastAsia" w:ascii="仿宋_GB2312" w:eastAsia="仿宋_GB2312" w:cs="Times New Roman"/>
          <w:spacing w:val="0"/>
          <w:kern w:val="2"/>
          <w:sz w:val="28"/>
          <w:szCs w:val="28"/>
          <w:lang w:val="en-US" w:eastAsia="zh-CN" w:bidi="ar-SA"/>
        </w:rPr>
        <w:t>并通过</w:t>
      </w:r>
      <w:r>
        <w:rPr>
          <w:rFonts w:hint="eastAsia" w:ascii="仿宋" w:hAnsi="仿宋" w:eastAsia="仿宋" w:cs="仿宋"/>
          <w:b w:val="0"/>
          <w:bCs w:val="0"/>
          <w:color w:val="000000" w:themeColor="text1"/>
          <w:kern w:val="0"/>
          <w:sz w:val="28"/>
          <w:szCs w:val="28"/>
          <w:lang w:val="en-US" w:eastAsia="zh-CN" w:bidi="ar"/>
          <w14:textFill>
            <w14:solidFill>
              <w14:schemeClr w14:val="tx1"/>
            </w14:solidFill>
          </w14:textFill>
        </w:rPr>
        <w:t>相关主管部门</w:t>
      </w:r>
      <w:r>
        <w:rPr>
          <w:rFonts w:hint="eastAsia" w:ascii="仿宋" w:hAnsi="仿宋" w:eastAsia="仿宋" w:cs="仿宋"/>
          <w:b w:val="0"/>
          <w:bCs w:val="0"/>
          <w:color w:val="auto"/>
          <w:kern w:val="0"/>
          <w:sz w:val="28"/>
          <w:szCs w:val="28"/>
          <w:lang w:val="en-US" w:eastAsia="zh-CN" w:bidi="ar"/>
        </w:rPr>
        <w:t>消防验收。需确保该方案在不经过新增其他措施的前提下通过消防主管部门的验收。</w:t>
      </w:r>
    </w:p>
    <w:p w14:paraId="3566DA49">
      <w:pPr>
        <w:pStyle w:val="8"/>
        <w:ind w:left="0" w:leftChars="0" w:firstLine="560" w:firstLineChars="200"/>
        <w:rPr>
          <w:rFonts w:hint="eastAsia" w:ascii="仿宋_GB2312" w:hAnsi="Times New Roman" w:eastAsia="仿宋_GB2312" w:cs="Times New Roman"/>
          <w:spacing w:val="0"/>
          <w:kern w:val="2"/>
          <w:sz w:val="28"/>
          <w:szCs w:val="28"/>
          <w:lang w:val="zh-CN" w:eastAsia="zh-CN" w:bidi="ar-SA"/>
        </w:rPr>
      </w:pPr>
    </w:p>
    <w:p w14:paraId="4225FEBE">
      <w:pPr>
        <w:autoSpaceDE w:val="0"/>
        <w:autoSpaceDN w:val="0"/>
        <w:adjustRightInd w:val="0"/>
        <w:snapToGrid w:val="0"/>
        <w:spacing w:line="360" w:lineRule="auto"/>
        <w:rPr>
          <w:rFonts w:ascii="仿宋_GB2312" w:eastAsia="仿宋_GB2312"/>
          <w:b/>
          <w:bCs/>
          <w:sz w:val="28"/>
          <w:szCs w:val="28"/>
        </w:rPr>
      </w:pPr>
      <w:r>
        <w:rPr>
          <w:rFonts w:hint="eastAsia" w:ascii="仿宋_GB2312" w:eastAsia="仿宋_GB2312"/>
          <w:b/>
          <w:bCs/>
          <w:sz w:val="28"/>
          <w:szCs w:val="28"/>
          <w:lang w:val="en-US" w:eastAsia="zh-CN"/>
        </w:rPr>
        <w:t>三、</w:t>
      </w:r>
      <w:r>
        <w:rPr>
          <w:rFonts w:hint="eastAsia" w:ascii="仿宋_GB2312" w:eastAsia="仿宋_GB2312"/>
          <w:b/>
          <w:bCs/>
          <w:sz w:val="28"/>
          <w:szCs w:val="28"/>
        </w:rPr>
        <w:t>报价要求</w:t>
      </w:r>
    </w:p>
    <w:p w14:paraId="55B19107">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1、本项目的报价上限</w:t>
      </w:r>
      <w:r>
        <w:rPr>
          <w:rFonts w:hint="eastAsia" w:ascii="仿宋" w:hAnsi="仿宋" w:eastAsia="仿宋" w:cs="仿宋"/>
          <w:color w:val="000000"/>
          <w:kern w:val="0"/>
          <w:sz w:val="28"/>
          <w:szCs w:val="28"/>
          <w:highlight w:val="none"/>
          <w:lang w:bidi="ar"/>
          <w:rPrChange w:id="0" w:author="风蓝雪夜寒" w:date="2024-04-15T15:50:42Z">
            <w:rPr>
              <w:rFonts w:hint="eastAsia" w:ascii="仿宋" w:hAnsi="仿宋" w:eastAsia="仿宋" w:cs="仿宋"/>
              <w:color w:val="000000"/>
              <w:kern w:val="0"/>
              <w:sz w:val="28"/>
              <w:szCs w:val="28"/>
              <w:lang w:bidi="ar"/>
            </w:rPr>
          </w:rPrChange>
        </w:rPr>
        <w:t>为</w:t>
      </w:r>
      <w:r>
        <w:rPr>
          <w:rFonts w:hint="eastAsia" w:ascii="仿宋" w:hAnsi="仿宋" w:eastAsia="仿宋" w:cs="仿宋"/>
          <w:color w:val="000000"/>
          <w:kern w:val="0"/>
          <w:sz w:val="28"/>
          <w:szCs w:val="28"/>
          <w:highlight w:val="none"/>
          <w:u w:val="single"/>
          <w:lang w:val="en-US" w:eastAsia="zh-CN" w:bidi="ar"/>
        </w:rPr>
        <w:t>10</w:t>
      </w:r>
      <w:r>
        <w:rPr>
          <w:rFonts w:hint="eastAsia" w:ascii="仿宋" w:hAnsi="仿宋" w:eastAsia="仿宋" w:cs="仿宋"/>
          <w:color w:val="000000"/>
          <w:kern w:val="0"/>
          <w:sz w:val="28"/>
          <w:szCs w:val="28"/>
          <w:highlight w:val="none"/>
          <w:lang w:bidi="ar"/>
          <w:rPrChange w:id="1" w:author="风蓝雪夜寒" w:date="2024-04-15T15:50:42Z">
            <w:rPr>
              <w:rFonts w:hint="eastAsia" w:ascii="仿宋" w:hAnsi="仿宋" w:eastAsia="仿宋" w:cs="仿宋"/>
              <w:color w:val="000000"/>
              <w:kern w:val="0"/>
              <w:sz w:val="28"/>
              <w:szCs w:val="28"/>
              <w:lang w:bidi="ar"/>
            </w:rPr>
          </w:rPrChange>
        </w:rPr>
        <w:t>万元</w:t>
      </w:r>
      <w:r>
        <w:rPr>
          <w:rFonts w:hint="eastAsia" w:ascii="仿宋" w:hAnsi="仿宋" w:eastAsia="仿宋" w:cs="仿宋"/>
          <w:color w:val="000000"/>
          <w:kern w:val="0"/>
          <w:sz w:val="28"/>
          <w:szCs w:val="28"/>
          <w:highlight w:val="none"/>
          <w:lang w:bidi="ar"/>
          <w:rPrChange w:id="2" w:author="风蓝雪夜寒" w:date="2024-04-15T15:50:42Z">
            <w:rPr>
              <w:rFonts w:hint="eastAsia" w:ascii="仿宋" w:hAnsi="仿宋" w:eastAsia="仿宋" w:cs="仿宋"/>
              <w:color w:val="000000"/>
              <w:kern w:val="0"/>
              <w:sz w:val="28"/>
              <w:szCs w:val="28"/>
              <w:lang w:bidi="ar"/>
            </w:rPr>
          </w:rPrChange>
        </w:rPr>
        <w:t>，超过</w:t>
      </w:r>
      <w:r>
        <w:rPr>
          <w:rFonts w:hint="eastAsia" w:ascii="仿宋" w:hAnsi="仿宋" w:eastAsia="仿宋" w:cs="仿宋"/>
          <w:color w:val="000000"/>
          <w:kern w:val="0"/>
          <w:sz w:val="28"/>
          <w:szCs w:val="28"/>
          <w:highlight w:val="none"/>
          <w:u w:val="single"/>
          <w:lang w:val="en-US" w:eastAsia="zh-CN" w:bidi="ar"/>
        </w:rPr>
        <w:t>10</w:t>
      </w:r>
      <w:r>
        <w:rPr>
          <w:rFonts w:hint="eastAsia" w:ascii="仿宋" w:hAnsi="仿宋" w:eastAsia="仿宋" w:cs="仿宋"/>
          <w:color w:val="000000"/>
          <w:kern w:val="0"/>
          <w:sz w:val="28"/>
          <w:szCs w:val="28"/>
          <w:highlight w:val="none"/>
          <w:lang w:bidi="ar"/>
          <w:rPrChange w:id="3" w:author="风蓝雪夜寒" w:date="2024-04-15T15:50:42Z">
            <w:rPr>
              <w:rFonts w:hint="eastAsia" w:ascii="仿宋" w:hAnsi="仿宋" w:eastAsia="仿宋" w:cs="仿宋"/>
              <w:color w:val="000000"/>
              <w:kern w:val="0"/>
              <w:sz w:val="28"/>
              <w:szCs w:val="28"/>
              <w:lang w:bidi="ar"/>
            </w:rPr>
          </w:rPrChange>
        </w:rPr>
        <w:t>万元的</w:t>
      </w:r>
      <w:r>
        <w:rPr>
          <w:rFonts w:hint="eastAsia" w:ascii="仿宋" w:hAnsi="仿宋" w:eastAsia="仿宋" w:cs="仿宋"/>
          <w:color w:val="000000"/>
          <w:kern w:val="0"/>
          <w:sz w:val="28"/>
          <w:szCs w:val="28"/>
          <w:lang w:bidi="ar"/>
        </w:rPr>
        <w:t>报价将被拒绝。</w:t>
      </w:r>
    </w:p>
    <w:p w14:paraId="1DEAEAD2">
      <w:pPr>
        <w:adjustRightInd w:val="0"/>
        <w:snapToGrid w:val="0"/>
        <w:spacing w:line="300" w:lineRule="auto"/>
        <w:ind w:firstLine="640"/>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2、</w:t>
      </w:r>
      <w:r>
        <w:rPr>
          <w:rFonts w:hint="eastAsia" w:ascii="仿宋_GB2312" w:hAnsi="Times New Roman" w:eastAsia="仿宋_GB2312" w:cs="Times New Roman"/>
          <w:spacing w:val="0"/>
          <w:kern w:val="2"/>
          <w:sz w:val="28"/>
          <w:szCs w:val="28"/>
          <w:lang w:val="en-US" w:eastAsia="zh-CN" w:bidi="ar-SA"/>
        </w:rPr>
        <w:t>消防技术咨询</w:t>
      </w:r>
      <w:r>
        <w:rPr>
          <w:rFonts w:hint="eastAsia" w:ascii="仿宋" w:hAnsi="仿宋" w:eastAsia="仿宋" w:cs="仿宋"/>
          <w:color w:val="000000"/>
          <w:kern w:val="0"/>
          <w:sz w:val="28"/>
          <w:szCs w:val="28"/>
          <w:lang w:val="en-US" w:eastAsia="zh-CN" w:bidi="ar"/>
        </w:rPr>
        <w:t>服务单位</w:t>
      </w:r>
      <w:r>
        <w:rPr>
          <w:rFonts w:hint="eastAsia" w:ascii="仿宋" w:hAnsi="仿宋" w:eastAsia="仿宋" w:cs="仿宋"/>
          <w:color w:val="000000"/>
          <w:kern w:val="0"/>
          <w:sz w:val="28"/>
          <w:szCs w:val="28"/>
          <w:lang w:bidi="ar"/>
        </w:rPr>
        <w:t>应考虑企业自身实力、经验及项目实施过程中的各种因素，根据询价要求，详细说明所能提供的各项具体服务内容，自主确定报价，本项目实施总价包干</w:t>
      </w:r>
      <w:r>
        <w:rPr>
          <w:rFonts w:hint="eastAsia" w:ascii="仿宋" w:hAnsi="仿宋" w:eastAsia="仿宋" w:cs="仿宋"/>
          <w:color w:val="000000"/>
          <w:kern w:val="0"/>
          <w:sz w:val="28"/>
          <w:szCs w:val="28"/>
          <w:lang w:eastAsia="zh-CN" w:bidi="ar"/>
        </w:rPr>
        <w:t>。</w:t>
      </w:r>
    </w:p>
    <w:p w14:paraId="4CC8C190">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报价应包括为完成本项目服务可能发生的全部费用及承包方的利润和应交纳的税金等，包括且不限于人工费、成果印刷费、报告编制费、资料收集费、前期调研费、公众参与调查费、专家审查费（咨询费）、外出考察费、差旅费、管理费、通讯费、设备（仪器）费、利润、进驻现场人员工伤保险费和意外伤害保险费、税金、风险费以及政策和行业规定的各项税费，</w:t>
      </w:r>
      <w:r>
        <w:rPr>
          <w:rFonts w:hint="eastAsia" w:ascii="仿宋" w:hAnsi="仿宋" w:eastAsia="仿宋" w:cs="仿宋"/>
          <w:color w:val="000000"/>
          <w:kern w:val="0"/>
          <w:sz w:val="28"/>
          <w:szCs w:val="28"/>
          <w:lang w:val="en-US" w:eastAsia="zh-CN" w:bidi="ar"/>
        </w:rPr>
        <w:t>不含会议费，</w:t>
      </w:r>
      <w:r>
        <w:rPr>
          <w:rFonts w:hint="eastAsia" w:ascii="仿宋" w:hAnsi="仿宋" w:eastAsia="仿宋" w:cs="仿宋"/>
          <w:color w:val="000000"/>
          <w:kern w:val="0"/>
          <w:sz w:val="28"/>
          <w:szCs w:val="28"/>
          <w:lang w:bidi="ar"/>
        </w:rPr>
        <w:t>凡未列入的均将被认为已包含在总报价中。</w:t>
      </w:r>
      <w:r>
        <w:rPr>
          <w:rFonts w:hint="eastAsia" w:ascii="仿宋_GB2312" w:hAnsi="Times New Roman" w:eastAsia="仿宋_GB2312" w:cs="Times New Roman"/>
          <w:sz w:val="28"/>
          <w:szCs w:val="28"/>
          <w:lang w:val="en-US" w:eastAsia="zh-CN"/>
        </w:rPr>
        <w:t>消防技术咨询服务</w:t>
      </w:r>
      <w:r>
        <w:rPr>
          <w:rFonts w:hint="eastAsia" w:ascii="仿宋" w:hAnsi="仿宋" w:eastAsia="仿宋" w:cs="仿宋"/>
          <w:color w:val="000000"/>
          <w:kern w:val="0"/>
          <w:sz w:val="28"/>
          <w:szCs w:val="28"/>
          <w:lang w:bidi="ar"/>
        </w:rPr>
        <w:t>供应商对询价内容的费用、质量、服务等实行全面承包。</w:t>
      </w:r>
    </w:p>
    <w:p w14:paraId="44E8E0AB">
      <w:pPr>
        <w:autoSpaceDE w:val="0"/>
        <w:autoSpaceDN w:val="0"/>
        <w:adjustRightInd w:val="0"/>
        <w:snapToGrid w:val="0"/>
        <w:spacing w:line="360" w:lineRule="auto"/>
        <w:rPr>
          <w:rFonts w:ascii="仿宋_GB2312" w:eastAsia="仿宋_GB2312"/>
          <w:sz w:val="28"/>
          <w:szCs w:val="28"/>
        </w:rPr>
      </w:pPr>
      <w:r>
        <w:rPr>
          <w:rFonts w:hint="eastAsia" w:ascii="仿宋_GB2312" w:eastAsia="仿宋_GB2312"/>
          <w:b/>
          <w:bCs/>
          <w:sz w:val="28"/>
          <w:szCs w:val="28"/>
          <w:lang w:val="en-US" w:eastAsia="zh-CN"/>
        </w:rPr>
        <w:t>四、</w:t>
      </w:r>
      <w:r>
        <w:rPr>
          <w:rFonts w:hint="eastAsia" w:ascii="仿宋_GB2312" w:eastAsia="仿宋_GB2312"/>
          <w:b/>
          <w:bCs/>
          <w:sz w:val="28"/>
          <w:szCs w:val="28"/>
        </w:rPr>
        <w:t>款项支付：</w:t>
      </w:r>
      <w:r>
        <w:rPr>
          <w:rFonts w:hint="eastAsia" w:ascii="仿宋_GB2312" w:eastAsia="仿宋_GB2312"/>
          <w:sz w:val="28"/>
          <w:szCs w:val="28"/>
        </w:rPr>
        <w:t>（具体以合同签订时约定为准）</w:t>
      </w:r>
    </w:p>
    <w:p w14:paraId="14366631">
      <w:pPr>
        <w:widowControl/>
        <w:ind w:firstLine="560" w:firstLineChars="200"/>
        <w:jc w:val="left"/>
      </w:pPr>
      <w:r>
        <w:rPr>
          <w:rFonts w:hint="eastAsia" w:ascii="仿宋" w:hAnsi="仿宋" w:eastAsia="仿宋" w:cs="仿宋"/>
          <w:color w:val="000000"/>
          <w:kern w:val="0"/>
          <w:sz w:val="28"/>
          <w:szCs w:val="28"/>
          <w:lang w:val="en-US" w:eastAsia="zh-CN" w:bidi="ar"/>
        </w:rPr>
        <w:t>需</w:t>
      </w:r>
      <w:r>
        <w:rPr>
          <w:rFonts w:hint="eastAsia" w:ascii="仿宋" w:hAnsi="仿宋" w:eastAsia="仿宋" w:cs="仿宋"/>
          <w:b w:val="0"/>
          <w:bCs w:val="0"/>
          <w:color w:val="auto"/>
          <w:kern w:val="0"/>
          <w:sz w:val="28"/>
          <w:szCs w:val="28"/>
          <w:lang w:val="en-US" w:eastAsia="zh-CN" w:bidi="ar"/>
        </w:rPr>
        <w:t>确保该方案仅在两窗洞封堵不再新增其他措施的前提下进行消防性能分析，</w:t>
      </w:r>
      <w:r>
        <w:rPr>
          <w:rFonts w:hint="eastAsia" w:ascii="仿宋" w:hAnsi="仿宋" w:eastAsia="仿宋" w:cs="仿宋"/>
          <w:b w:val="0"/>
          <w:bCs w:val="0"/>
          <w:color w:val="auto"/>
          <w:kern w:val="0"/>
          <w:sz w:val="28"/>
          <w:szCs w:val="28"/>
          <w:lang w:bidi="ar"/>
        </w:rPr>
        <w:t>完成</w:t>
      </w:r>
      <w:r>
        <w:rPr>
          <w:rFonts w:hint="eastAsia" w:ascii="仿宋_GB2312" w:hAnsi="Times New Roman" w:eastAsia="仿宋_GB2312" w:cs="Times New Roman"/>
          <w:b w:val="0"/>
          <w:bCs w:val="0"/>
          <w:color w:val="auto"/>
          <w:spacing w:val="0"/>
          <w:kern w:val="2"/>
          <w:sz w:val="28"/>
          <w:szCs w:val="28"/>
          <w:lang w:val="en-US" w:eastAsia="zh-CN" w:bidi="ar-SA"/>
        </w:rPr>
        <w:t>消防技术咨询报告</w:t>
      </w:r>
      <w:r>
        <w:rPr>
          <w:rFonts w:hint="eastAsia" w:ascii="仿宋" w:hAnsi="仿宋" w:eastAsia="仿宋" w:cs="仿宋"/>
          <w:b w:val="0"/>
          <w:bCs w:val="0"/>
          <w:color w:val="auto"/>
          <w:kern w:val="0"/>
          <w:sz w:val="28"/>
          <w:szCs w:val="28"/>
          <w:lang w:val="en-US" w:eastAsia="zh-CN" w:bidi="ar"/>
        </w:rPr>
        <w:t>并确保报告通过消防主管部门的验收。在</w:t>
      </w:r>
      <w:r>
        <w:rPr>
          <w:rFonts w:hint="eastAsia" w:ascii="仿宋" w:hAnsi="仿宋" w:eastAsia="仿宋" w:cs="仿宋"/>
          <w:b w:val="0"/>
          <w:bCs w:val="0"/>
          <w:color w:val="auto"/>
          <w:kern w:val="0"/>
          <w:sz w:val="28"/>
          <w:szCs w:val="28"/>
          <w:lang w:bidi="ar"/>
        </w:rPr>
        <w:t>甲方</w:t>
      </w:r>
      <w:r>
        <w:rPr>
          <w:rFonts w:hint="eastAsia" w:ascii="仿宋" w:hAnsi="仿宋" w:eastAsia="仿宋" w:cs="仿宋"/>
          <w:b w:val="0"/>
          <w:bCs w:val="0"/>
          <w:color w:val="000000" w:themeColor="text1"/>
          <w:kern w:val="0"/>
          <w:sz w:val="28"/>
          <w:szCs w:val="28"/>
          <w:lang w:val="en-US" w:eastAsia="zh-CN" w:bidi="ar"/>
          <w14:textFill>
            <w14:solidFill>
              <w14:schemeClr w14:val="tx1"/>
            </w14:solidFill>
          </w14:textFill>
        </w:rPr>
        <w:t>及相关主管部门</w:t>
      </w:r>
      <w:r>
        <w:rPr>
          <w:rFonts w:hint="eastAsia" w:ascii="仿宋" w:hAnsi="仿宋" w:eastAsia="仿宋" w:cs="仿宋"/>
          <w:b w:val="0"/>
          <w:bCs w:val="0"/>
          <w:color w:val="auto"/>
          <w:kern w:val="0"/>
          <w:sz w:val="28"/>
          <w:szCs w:val="28"/>
          <w:lang w:val="en-US" w:eastAsia="zh-CN" w:bidi="ar"/>
        </w:rPr>
        <w:t>消防验收通过</w:t>
      </w:r>
      <w:r>
        <w:rPr>
          <w:rFonts w:hint="eastAsia" w:ascii="仿宋" w:hAnsi="仿宋" w:eastAsia="仿宋" w:cs="仿宋"/>
          <w:b w:val="0"/>
          <w:bCs w:val="0"/>
          <w:color w:val="auto"/>
          <w:kern w:val="0"/>
          <w:sz w:val="28"/>
          <w:szCs w:val="28"/>
          <w:lang w:bidi="ar"/>
        </w:rPr>
        <w:t>后</w:t>
      </w:r>
      <w:r>
        <w:rPr>
          <w:rFonts w:hint="eastAsia" w:ascii="仿宋" w:hAnsi="仿宋" w:eastAsia="仿宋" w:cs="仿宋"/>
          <w:b w:val="0"/>
          <w:bCs w:val="0"/>
          <w:color w:val="auto"/>
          <w:kern w:val="0"/>
          <w:sz w:val="28"/>
          <w:szCs w:val="28"/>
          <w:lang w:val="en-US" w:eastAsia="zh-CN" w:bidi="ar"/>
        </w:rPr>
        <w:t>30个工作</w:t>
      </w:r>
      <w:r>
        <w:rPr>
          <w:rFonts w:hint="eastAsia" w:ascii="仿宋" w:hAnsi="仿宋" w:eastAsia="仿宋" w:cs="仿宋"/>
          <w:b w:val="0"/>
          <w:bCs w:val="0"/>
          <w:color w:val="auto"/>
          <w:kern w:val="0"/>
          <w:sz w:val="28"/>
          <w:szCs w:val="28"/>
          <w:lang w:bidi="ar"/>
        </w:rPr>
        <w:t>日内支付合同总金额的</w:t>
      </w:r>
      <w:r>
        <w:rPr>
          <w:rFonts w:hint="eastAsia" w:ascii="仿宋" w:hAnsi="仿宋" w:eastAsia="仿宋" w:cs="仿宋"/>
          <w:b w:val="0"/>
          <w:bCs w:val="0"/>
          <w:color w:val="auto"/>
          <w:kern w:val="0"/>
          <w:sz w:val="28"/>
          <w:szCs w:val="28"/>
          <w:lang w:val="en-US" w:eastAsia="zh-CN" w:bidi="ar"/>
        </w:rPr>
        <w:t>100</w:t>
      </w:r>
      <w:r>
        <w:rPr>
          <w:rFonts w:hint="eastAsia" w:ascii="仿宋" w:hAnsi="仿宋" w:eastAsia="仿宋" w:cs="仿宋"/>
          <w:b w:val="0"/>
          <w:bCs w:val="0"/>
          <w:color w:val="auto"/>
          <w:kern w:val="0"/>
          <w:sz w:val="28"/>
          <w:szCs w:val="28"/>
          <w:lang w:bidi="ar"/>
        </w:rPr>
        <w:t>%；</w:t>
      </w:r>
    </w:p>
    <w:p w14:paraId="79E77189">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五</w:t>
      </w:r>
      <w:r>
        <w:rPr>
          <w:rFonts w:hint="eastAsia" w:ascii="仿宋_GB2312" w:hAnsi="Times New Roman" w:eastAsia="仿宋_GB2312" w:cs="Times New Roman"/>
          <w:b/>
          <w:bCs/>
          <w:sz w:val="28"/>
          <w:szCs w:val="28"/>
        </w:rPr>
        <w:t>、询价事宜</w:t>
      </w:r>
    </w:p>
    <w:p w14:paraId="79A9D59C">
      <w:pPr>
        <w:widowControl/>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lang w:val="en-US" w:eastAsia="zh-CN" w:bidi="ar"/>
        </w:rPr>
        <w:t>1、询价时间：</w:t>
      </w:r>
      <w:r>
        <w:rPr>
          <w:rFonts w:hint="eastAsia" w:ascii="仿宋" w:hAnsi="仿宋" w:eastAsia="仿宋" w:cs="仿宋"/>
          <w:color w:val="000000"/>
          <w:kern w:val="0"/>
          <w:sz w:val="28"/>
          <w:szCs w:val="28"/>
          <w:highlight w:val="none"/>
          <w:lang w:val="en-US" w:eastAsia="zh-CN" w:bidi="ar"/>
          <w:rPrChange w:id="4" w:author="风蓝雪夜寒" w:date="2024-04-10T15:20:14Z">
            <w:rPr>
              <w:rFonts w:hint="eastAsia" w:ascii="仿宋" w:hAnsi="仿宋" w:eastAsia="仿宋" w:cs="仿宋"/>
              <w:color w:val="000000"/>
              <w:kern w:val="0"/>
              <w:sz w:val="28"/>
              <w:szCs w:val="28"/>
              <w:lang w:val="en-US" w:eastAsia="zh-CN" w:bidi="ar"/>
            </w:rPr>
          </w:rPrChange>
        </w:rPr>
        <w:t>202</w:t>
      </w:r>
      <w:r>
        <w:rPr>
          <w:rFonts w:hint="eastAsia" w:ascii="仿宋" w:hAnsi="仿宋" w:eastAsia="仿宋" w:cs="仿宋"/>
          <w:color w:val="000000"/>
          <w:kern w:val="0"/>
          <w:sz w:val="28"/>
          <w:szCs w:val="28"/>
          <w:highlight w:val="none"/>
          <w:lang w:val="en-US" w:eastAsia="zh-CN" w:bidi="ar"/>
        </w:rPr>
        <w:t>4</w:t>
      </w:r>
      <w:r>
        <w:rPr>
          <w:rFonts w:hint="eastAsia" w:ascii="仿宋" w:hAnsi="仿宋" w:eastAsia="仿宋" w:cs="仿宋"/>
          <w:color w:val="000000"/>
          <w:kern w:val="0"/>
          <w:sz w:val="28"/>
          <w:szCs w:val="28"/>
          <w:highlight w:val="none"/>
          <w:lang w:val="en-US" w:eastAsia="zh-CN" w:bidi="ar"/>
          <w:rPrChange w:id="5" w:author="风蓝雪夜寒" w:date="2024-04-10T15:20:14Z">
            <w:rPr>
              <w:rFonts w:hint="eastAsia" w:ascii="仿宋" w:hAnsi="仿宋" w:eastAsia="仿宋" w:cs="仿宋"/>
              <w:color w:val="000000"/>
              <w:kern w:val="0"/>
              <w:sz w:val="28"/>
              <w:szCs w:val="28"/>
              <w:lang w:val="en-US" w:eastAsia="zh-CN" w:bidi="ar"/>
            </w:rPr>
          </w:rPrChange>
        </w:rPr>
        <w:t>年</w:t>
      </w:r>
      <w:r>
        <w:rPr>
          <w:rFonts w:hint="eastAsia" w:ascii="仿宋" w:hAnsi="仿宋" w:eastAsia="仿宋" w:cs="仿宋"/>
          <w:color w:val="000000"/>
          <w:kern w:val="0"/>
          <w:sz w:val="28"/>
          <w:szCs w:val="28"/>
          <w:highlight w:val="none"/>
          <w:lang w:val="en-US" w:eastAsia="zh-CN" w:bidi="ar"/>
        </w:rPr>
        <w:t>7</w:t>
      </w:r>
      <w:r>
        <w:rPr>
          <w:rFonts w:hint="eastAsia" w:ascii="仿宋" w:hAnsi="仿宋" w:eastAsia="仿宋" w:cs="仿宋"/>
          <w:color w:val="000000"/>
          <w:kern w:val="0"/>
          <w:sz w:val="28"/>
          <w:szCs w:val="28"/>
          <w:highlight w:val="none"/>
          <w:lang w:val="en-US" w:eastAsia="zh-CN" w:bidi="ar"/>
          <w:rPrChange w:id="6" w:author="风蓝雪夜寒" w:date="2024-04-10T15:20:14Z">
            <w:rPr>
              <w:rFonts w:hint="eastAsia" w:ascii="仿宋" w:hAnsi="仿宋" w:eastAsia="仿宋" w:cs="仿宋"/>
              <w:color w:val="000000"/>
              <w:kern w:val="0"/>
              <w:sz w:val="28"/>
              <w:szCs w:val="28"/>
              <w:lang w:val="en-US" w:eastAsia="zh-CN" w:bidi="ar"/>
            </w:rPr>
          </w:rPrChange>
        </w:rPr>
        <w:t>月</w:t>
      </w:r>
      <w:r>
        <w:rPr>
          <w:rFonts w:hint="eastAsia" w:ascii="仿宋" w:hAnsi="仿宋" w:eastAsia="仿宋" w:cs="仿宋"/>
          <w:color w:val="000000"/>
          <w:kern w:val="0"/>
          <w:sz w:val="28"/>
          <w:szCs w:val="28"/>
          <w:highlight w:val="none"/>
          <w:lang w:val="en-US" w:eastAsia="zh-CN" w:bidi="ar"/>
        </w:rPr>
        <w:t>19</w:t>
      </w:r>
      <w:r>
        <w:rPr>
          <w:rFonts w:hint="eastAsia" w:ascii="仿宋" w:hAnsi="仿宋" w:eastAsia="仿宋" w:cs="仿宋"/>
          <w:color w:val="000000"/>
          <w:kern w:val="0"/>
          <w:sz w:val="28"/>
          <w:szCs w:val="28"/>
          <w:highlight w:val="none"/>
          <w:lang w:val="en-US" w:eastAsia="zh-CN" w:bidi="ar"/>
          <w:rPrChange w:id="7" w:author="风蓝雪夜寒" w:date="2024-04-10T15:20:14Z">
            <w:rPr>
              <w:rFonts w:hint="eastAsia" w:ascii="仿宋" w:hAnsi="仿宋" w:eastAsia="仿宋" w:cs="仿宋"/>
              <w:color w:val="000000"/>
              <w:kern w:val="0"/>
              <w:sz w:val="28"/>
              <w:szCs w:val="28"/>
              <w:lang w:val="en-US" w:eastAsia="zh-CN" w:bidi="ar"/>
            </w:rPr>
          </w:rPrChange>
        </w:rPr>
        <w:t>日</w:t>
      </w:r>
      <w:r>
        <w:rPr>
          <w:rFonts w:hint="eastAsia" w:ascii="仿宋" w:hAnsi="仿宋" w:eastAsia="仿宋" w:cs="仿宋"/>
          <w:color w:val="000000"/>
          <w:kern w:val="0"/>
          <w:sz w:val="28"/>
          <w:szCs w:val="28"/>
          <w:highlight w:val="none"/>
          <w:lang w:val="en-US" w:eastAsia="zh-CN" w:bidi="ar"/>
        </w:rPr>
        <w:t xml:space="preserve">下午14：00（请于13：45提前到场签到）    </w:t>
      </w:r>
    </w:p>
    <w:p w14:paraId="782AE85F">
      <w:pPr>
        <w:widowControl/>
        <w:ind w:firstLine="560" w:firstLineChars="200"/>
        <w:jc w:val="left"/>
        <w:rPr>
          <w:rFonts w:hint="eastAsia" w:ascii="仿宋" w:hAnsi="仿宋" w:eastAsia="仿宋" w:cs="仿宋"/>
          <w:color w:val="000000"/>
          <w:kern w:val="0"/>
          <w:sz w:val="28"/>
          <w:szCs w:val="28"/>
          <w:highlight w:val="none"/>
          <w:lang w:val="en-US" w:eastAsia="zh-CN" w:bidi="ar"/>
          <w:rPrChange w:id="8" w:author="风蓝雪夜寒" w:date="2024-04-10T15:22:53Z">
            <w:rPr>
              <w:rFonts w:hint="eastAsia" w:ascii="仿宋" w:hAnsi="仿宋" w:eastAsia="仿宋" w:cs="仿宋"/>
              <w:color w:val="000000"/>
              <w:kern w:val="0"/>
              <w:sz w:val="28"/>
              <w:szCs w:val="28"/>
              <w:lang w:val="en-US" w:eastAsia="zh-CN" w:bidi="ar"/>
            </w:rPr>
          </w:rPrChange>
        </w:rPr>
      </w:pPr>
      <w:r>
        <w:rPr>
          <w:rFonts w:hint="eastAsia" w:ascii="仿宋" w:hAnsi="仿宋" w:eastAsia="仿宋" w:cs="仿宋"/>
          <w:color w:val="000000"/>
          <w:kern w:val="0"/>
          <w:sz w:val="28"/>
          <w:szCs w:val="28"/>
          <w:highlight w:val="none"/>
          <w:lang w:val="en-US" w:eastAsia="zh-CN" w:bidi="ar"/>
        </w:rPr>
        <w:t>2、询价地址：杭州市庆春路79号浙大一院17号楼</w:t>
      </w:r>
      <w:r>
        <w:rPr>
          <w:rFonts w:hint="eastAsia" w:ascii="仿宋" w:hAnsi="仿宋" w:eastAsia="仿宋" w:cs="仿宋"/>
          <w:color w:val="000000"/>
          <w:kern w:val="0"/>
          <w:sz w:val="28"/>
          <w:szCs w:val="28"/>
          <w:highlight w:val="none"/>
          <w:lang w:val="en-US" w:eastAsia="zh-CN" w:bidi="ar"/>
          <w:rPrChange w:id="9" w:author="风蓝雪夜寒" w:date="2024-04-10T15:22:53Z">
            <w:rPr>
              <w:rFonts w:hint="eastAsia" w:ascii="仿宋" w:hAnsi="仿宋" w:eastAsia="仿宋" w:cs="仿宋"/>
              <w:color w:val="000000"/>
              <w:kern w:val="0"/>
              <w:sz w:val="28"/>
              <w:szCs w:val="28"/>
              <w:lang w:val="en-US" w:eastAsia="zh-CN" w:bidi="ar"/>
            </w:rPr>
          </w:rPrChange>
        </w:rPr>
        <w:t>2楼</w:t>
      </w:r>
      <w:r>
        <w:rPr>
          <w:rFonts w:hint="eastAsia" w:ascii="仿宋" w:hAnsi="仿宋" w:eastAsia="仿宋" w:cs="仿宋"/>
          <w:color w:val="000000"/>
          <w:kern w:val="0"/>
          <w:sz w:val="28"/>
          <w:szCs w:val="28"/>
          <w:highlight w:val="none"/>
          <w:lang w:val="en-US" w:eastAsia="zh-CN" w:bidi="ar"/>
        </w:rPr>
        <w:t>大学路</w:t>
      </w:r>
      <w:r>
        <w:rPr>
          <w:rFonts w:hint="eastAsia" w:ascii="仿宋" w:hAnsi="仿宋" w:eastAsia="仿宋" w:cs="仿宋"/>
          <w:color w:val="000000"/>
          <w:kern w:val="0"/>
          <w:sz w:val="28"/>
          <w:szCs w:val="28"/>
          <w:highlight w:val="none"/>
          <w:lang w:val="en-US" w:eastAsia="zh-CN" w:bidi="ar"/>
          <w:rPrChange w:id="10" w:author="风蓝雪夜寒" w:date="2024-04-10T15:22:53Z">
            <w:rPr>
              <w:rFonts w:hint="eastAsia" w:ascii="仿宋" w:hAnsi="仿宋" w:eastAsia="仿宋" w:cs="仿宋"/>
              <w:color w:val="000000"/>
              <w:kern w:val="0"/>
              <w:sz w:val="28"/>
              <w:szCs w:val="28"/>
              <w:lang w:val="en-US" w:eastAsia="zh-CN" w:bidi="ar"/>
            </w:rPr>
          </w:rPrChange>
        </w:rPr>
        <w:t>厅</w:t>
      </w:r>
    </w:p>
    <w:p w14:paraId="04FC7D4B">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3、询价文件一式两份</w:t>
      </w:r>
    </w:p>
    <w:p w14:paraId="4CD4ECC5">
      <w:pPr>
        <w:widowControl/>
        <w:ind w:firstLine="560" w:firstLineChars="200"/>
        <w:jc w:val="left"/>
        <w:rPr>
          <w:rFonts w:hint="default"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lang w:val="en-US" w:eastAsia="zh-CN" w:bidi="ar"/>
        </w:rPr>
        <w:t>4、联系电话：13735818680 陈工</w:t>
      </w:r>
    </w:p>
    <w:p w14:paraId="3B13B480">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六</w:t>
      </w:r>
      <w:r>
        <w:rPr>
          <w:rFonts w:hint="eastAsia" w:ascii="仿宋_GB2312" w:hAnsi="Times New Roman" w:eastAsia="仿宋_GB2312" w:cs="Times New Roman"/>
          <w:b/>
          <w:bCs/>
          <w:sz w:val="28"/>
          <w:szCs w:val="28"/>
        </w:rPr>
        <w:t>、响应文件组成</w:t>
      </w:r>
    </w:p>
    <w:p w14:paraId="63488933">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响应文件应包括（按顺序）下列文件，并逐页盖红章，不得有散页</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b/>
          <w:bCs/>
          <w:sz w:val="28"/>
          <w:szCs w:val="28"/>
          <w:highlight w:val="none"/>
        </w:rPr>
        <w:t>所有材料必须密封装袋：</w:t>
      </w:r>
      <w:bookmarkStart w:id="0" w:name="_GoBack"/>
      <w:bookmarkEnd w:id="0"/>
    </w:p>
    <w:p w14:paraId="4E4886B1">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询价函</w:t>
      </w:r>
    </w:p>
    <w:p w14:paraId="4B098376">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询价响应函（详见附件1）</w:t>
      </w:r>
    </w:p>
    <w:p w14:paraId="763AE7B6">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报价文件（详见附件2、3，</w:t>
      </w:r>
      <w:r>
        <w:rPr>
          <w:rFonts w:hint="eastAsia" w:ascii="仿宋_GB2312" w:hAnsi="仿宋_GB2312" w:eastAsia="仿宋_GB2312" w:cs="仿宋_GB2312"/>
          <w:b/>
          <w:bCs/>
          <w:sz w:val="28"/>
          <w:szCs w:val="28"/>
          <w:highlight w:val="none"/>
        </w:rPr>
        <w:t>二次报价函空白单独打印盖章，现场填写</w:t>
      </w:r>
      <w:r>
        <w:rPr>
          <w:rFonts w:hint="eastAsia" w:ascii="仿宋_GB2312" w:hAnsi="仿宋_GB2312" w:eastAsia="仿宋_GB2312" w:cs="仿宋_GB2312"/>
          <w:sz w:val="28"/>
          <w:szCs w:val="28"/>
          <w:highlight w:val="none"/>
        </w:rPr>
        <w:t>）</w:t>
      </w:r>
    </w:p>
    <w:p w14:paraId="708155D4">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法定代表人授权委托书</w:t>
      </w:r>
    </w:p>
    <w:p w14:paraId="788F71D3">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相关资质文件复印件</w:t>
      </w:r>
    </w:p>
    <w:p w14:paraId="572A27CF">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工商营业执照复印件</w:t>
      </w:r>
    </w:p>
    <w:p w14:paraId="44639AAC">
      <w:pPr>
        <w:autoSpaceDE w:val="0"/>
        <w:autoSpaceDN w:val="0"/>
        <w:adjustRightInd w:val="0"/>
        <w:snapToGrid w:val="0"/>
        <w:rPr>
          <w:rFonts w:hint="eastAsia" w:ascii="仿宋_GB2312" w:eastAsia="仿宋_GB2312"/>
          <w:b/>
          <w:sz w:val="32"/>
          <w:szCs w:val="32"/>
        </w:rPr>
      </w:pPr>
    </w:p>
    <w:p w14:paraId="37C2F463">
      <w:pPr>
        <w:autoSpaceDE w:val="0"/>
        <w:autoSpaceDN w:val="0"/>
        <w:adjustRightInd w:val="0"/>
        <w:snapToGrid w:val="0"/>
        <w:rPr>
          <w:rFonts w:hint="eastAsia" w:ascii="仿宋_GB2312" w:eastAsia="仿宋_GB2312"/>
          <w:b/>
          <w:sz w:val="32"/>
          <w:szCs w:val="32"/>
        </w:rPr>
      </w:pPr>
    </w:p>
    <w:p w14:paraId="7ED07F47">
      <w:pPr>
        <w:autoSpaceDE w:val="0"/>
        <w:autoSpaceDN w:val="0"/>
        <w:adjustRightInd w:val="0"/>
        <w:snapToGrid w:val="0"/>
        <w:rPr>
          <w:rFonts w:hint="eastAsia" w:ascii="仿宋_GB2312" w:eastAsia="仿宋_GB2312"/>
          <w:b/>
          <w:sz w:val="32"/>
          <w:szCs w:val="32"/>
        </w:rPr>
      </w:pPr>
    </w:p>
    <w:p w14:paraId="18C6325F">
      <w:pPr>
        <w:autoSpaceDE w:val="0"/>
        <w:autoSpaceDN w:val="0"/>
        <w:adjustRightInd w:val="0"/>
        <w:snapToGrid w:val="0"/>
        <w:rPr>
          <w:rFonts w:hint="eastAsia" w:ascii="仿宋_GB2312" w:eastAsia="仿宋_GB2312"/>
          <w:b/>
          <w:sz w:val="32"/>
          <w:szCs w:val="32"/>
        </w:rPr>
      </w:pPr>
    </w:p>
    <w:p w14:paraId="4DE70A08">
      <w:pPr>
        <w:autoSpaceDE w:val="0"/>
        <w:autoSpaceDN w:val="0"/>
        <w:adjustRightInd w:val="0"/>
        <w:snapToGrid w:val="0"/>
        <w:rPr>
          <w:rFonts w:hint="eastAsia" w:ascii="仿宋_GB2312" w:eastAsia="仿宋_GB2312"/>
          <w:b/>
          <w:sz w:val="32"/>
          <w:szCs w:val="32"/>
        </w:rPr>
      </w:pPr>
    </w:p>
    <w:p w14:paraId="1C196051">
      <w:pPr>
        <w:autoSpaceDE w:val="0"/>
        <w:autoSpaceDN w:val="0"/>
        <w:adjustRightInd w:val="0"/>
        <w:snapToGrid w:val="0"/>
        <w:rPr>
          <w:rFonts w:hint="eastAsia" w:ascii="仿宋_GB2312" w:eastAsia="仿宋_GB2312"/>
          <w:b/>
          <w:sz w:val="32"/>
          <w:szCs w:val="32"/>
        </w:rPr>
      </w:pPr>
    </w:p>
    <w:p w14:paraId="188E7254">
      <w:pPr>
        <w:autoSpaceDE w:val="0"/>
        <w:autoSpaceDN w:val="0"/>
        <w:adjustRightInd w:val="0"/>
        <w:snapToGrid w:val="0"/>
        <w:rPr>
          <w:rFonts w:hint="eastAsia" w:ascii="仿宋_GB2312" w:eastAsia="仿宋_GB2312"/>
          <w:b/>
          <w:sz w:val="32"/>
          <w:szCs w:val="32"/>
        </w:rPr>
      </w:pPr>
    </w:p>
    <w:p w14:paraId="440E0558">
      <w:pPr>
        <w:autoSpaceDE w:val="0"/>
        <w:autoSpaceDN w:val="0"/>
        <w:adjustRightInd w:val="0"/>
        <w:snapToGrid w:val="0"/>
        <w:rPr>
          <w:rFonts w:hint="eastAsia" w:ascii="仿宋_GB2312" w:eastAsia="仿宋_GB2312"/>
          <w:b/>
          <w:sz w:val="32"/>
          <w:szCs w:val="32"/>
        </w:rPr>
      </w:pPr>
    </w:p>
    <w:p w14:paraId="74D82F18">
      <w:pPr>
        <w:autoSpaceDE w:val="0"/>
        <w:autoSpaceDN w:val="0"/>
        <w:adjustRightInd w:val="0"/>
        <w:snapToGrid w:val="0"/>
        <w:rPr>
          <w:rFonts w:hint="eastAsia" w:ascii="仿宋_GB2312" w:eastAsia="仿宋_GB2312"/>
          <w:b/>
          <w:sz w:val="32"/>
          <w:szCs w:val="32"/>
        </w:rPr>
      </w:pPr>
    </w:p>
    <w:p w14:paraId="79275B1E">
      <w:pPr>
        <w:autoSpaceDE w:val="0"/>
        <w:autoSpaceDN w:val="0"/>
        <w:adjustRightInd w:val="0"/>
        <w:snapToGrid w:val="0"/>
        <w:rPr>
          <w:rFonts w:hint="eastAsia" w:ascii="仿宋_GB2312" w:eastAsia="仿宋_GB2312"/>
          <w:b/>
          <w:sz w:val="32"/>
          <w:szCs w:val="32"/>
        </w:rPr>
      </w:pPr>
    </w:p>
    <w:p w14:paraId="32826BE7">
      <w:pPr>
        <w:autoSpaceDE w:val="0"/>
        <w:autoSpaceDN w:val="0"/>
        <w:adjustRightInd w:val="0"/>
        <w:snapToGrid w:val="0"/>
        <w:rPr>
          <w:rFonts w:hint="eastAsia" w:ascii="仿宋_GB2312" w:eastAsia="仿宋_GB2312"/>
          <w:b/>
          <w:sz w:val="32"/>
          <w:szCs w:val="32"/>
        </w:rPr>
      </w:pPr>
    </w:p>
    <w:p w14:paraId="1B117DDC">
      <w:pPr>
        <w:autoSpaceDE w:val="0"/>
        <w:autoSpaceDN w:val="0"/>
        <w:adjustRightInd w:val="0"/>
        <w:snapToGrid w:val="0"/>
        <w:rPr>
          <w:rFonts w:hint="eastAsia" w:ascii="仿宋_GB2312" w:eastAsia="仿宋_GB2312"/>
          <w:b/>
          <w:sz w:val="32"/>
          <w:szCs w:val="32"/>
        </w:rPr>
      </w:pPr>
    </w:p>
    <w:p w14:paraId="47DEB1F3">
      <w:pPr>
        <w:autoSpaceDE w:val="0"/>
        <w:autoSpaceDN w:val="0"/>
        <w:adjustRightInd w:val="0"/>
        <w:snapToGrid w:val="0"/>
        <w:rPr>
          <w:rFonts w:hint="eastAsia" w:ascii="仿宋_GB2312" w:eastAsia="仿宋_GB2312"/>
          <w:b/>
          <w:sz w:val="32"/>
          <w:szCs w:val="32"/>
        </w:rPr>
      </w:pPr>
    </w:p>
    <w:p w14:paraId="29EC60D2">
      <w:pPr>
        <w:autoSpaceDE w:val="0"/>
        <w:autoSpaceDN w:val="0"/>
        <w:adjustRightInd w:val="0"/>
        <w:snapToGrid w:val="0"/>
        <w:rPr>
          <w:rFonts w:hint="eastAsia" w:ascii="仿宋_GB2312" w:eastAsia="仿宋_GB2312"/>
          <w:b/>
          <w:sz w:val="32"/>
          <w:szCs w:val="32"/>
        </w:rPr>
      </w:pPr>
    </w:p>
    <w:p w14:paraId="06AED48F">
      <w:pPr>
        <w:autoSpaceDE w:val="0"/>
        <w:autoSpaceDN w:val="0"/>
        <w:adjustRightInd w:val="0"/>
        <w:snapToGrid w:val="0"/>
        <w:rPr>
          <w:rFonts w:hint="eastAsia" w:ascii="仿宋_GB2312" w:eastAsia="仿宋_GB2312"/>
          <w:b/>
          <w:sz w:val="32"/>
          <w:szCs w:val="32"/>
        </w:rPr>
      </w:pPr>
    </w:p>
    <w:p w14:paraId="5263F21E">
      <w:pPr>
        <w:autoSpaceDE w:val="0"/>
        <w:autoSpaceDN w:val="0"/>
        <w:adjustRightInd w:val="0"/>
        <w:snapToGrid w:val="0"/>
        <w:rPr>
          <w:rFonts w:hint="eastAsia" w:ascii="仿宋_GB2312" w:eastAsia="仿宋_GB2312"/>
          <w:b/>
          <w:sz w:val="32"/>
          <w:szCs w:val="32"/>
        </w:rPr>
      </w:pPr>
    </w:p>
    <w:p w14:paraId="3347137A">
      <w:pPr>
        <w:autoSpaceDE w:val="0"/>
        <w:autoSpaceDN w:val="0"/>
        <w:adjustRightInd w:val="0"/>
        <w:snapToGrid w:val="0"/>
        <w:rPr>
          <w:rFonts w:hint="eastAsia" w:ascii="仿宋_GB2312" w:eastAsia="仿宋_GB2312"/>
          <w:b/>
          <w:sz w:val="32"/>
          <w:szCs w:val="32"/>
        </w:rPr>
      </w:pPr>
    </w:p>
    <w:p w14:paraId="2066DBC7">
      <w:pPr>
        <w:autoSpaceDE w:val="0"/>
        <w:autoSpaceDN w:val="0"/>
        <w:adjustRightInd w:val="0"/>
        <w:snapToGrid w:val="0"/>
        <w:rPr>
          <w:rFonts w:hint="eastAsia" w:ascii="仿宋_GB2312" w:eastAsia="仿宋_GB2312"/>
          <w:b/>
          <w:sz w:val="32"/>
          <w:szCs w:val="32"/>
        </w:rPr>
      </w:pPr>
    </w:p>
    <w:p w14:paraId="5C17865D">
      <w:pPr>
        <w:autoSpaceDE w:val="0"/>
        <w:autoSpaceDN w:val="0"/>
        <w:adjustRightInd w:val="0"/>
        <w:snapToGrid w:val="0"/>
        <w:rPr>
          <w:rFonts w:hint="eastAsia" w:ascii="仿宋_GB2312" w:eastAsia="仿宋_GB2312"/>
          <w:b/>
          <w:sz w:val="32"/>
          <w:szCs w:val="32"/>
        </w:rPr>
      </w:pPr>
    </w:p>
    <w:p w14:paraId="7BCBB071">
      <w:pPr>
        <w:autoSpaceDE w:val="0"/>
        <w:autoSpaceDN w:val="0"/>
        <w:adjustRightInd w:val="0"/>
        <w:snapToGrid w:val="0"/>
        <w:rPr>
          <w:rFonts w:hint="eastAsia" w:ascii="仿宋_GB2312" w:eastAsia="仿宋_GB2312"/>
          <w:b/>
          <w:sz w:val="32"/>
          <w:szCs w:val="32"/>
        </w:rPr>
      </w:pPr>
    </w:p>
    <w:p w14:paraId="0367DE00">
      <w:pPr>
        <w:autoSpaceDE w:val="0"/>
        <w:autoSpaceDN w:val="0"/>
        <w:adjustRightInd w:val="0"/>
        <w:snapToGrid w:val="0"/>
        <w:rPr>
          <w:rFonts w:hint="eastAsia" w:ascii="仿宋_GB2312" w:eastAsia="仿宋_GB2312"/>
          <w:b/>
          <w:sz w:val="32"/>
          <w:szCs w:val="32"/>
        </w:rPr>
      </w:pPr>
    </w:p>
    <w:p w14:paraId="7FEEFB3E">
      <w:pPr>
        <w:autoSpaceDE w:val="0"/>
        <w:autoSpaceDN w:val="0"/>
        <w:adjustRightInd w:val="0"/>
        <w:snapToGrid w:val="0"/>
        <w:rPr>
          <w:rFonts w:hint="eastAsia" w:ascii="仿宋_GB2312" w:eastAsia="仿宋_GB2312"/>
          <w:b/>
          <w:sz w:val="32"/>
          <w:szCs w:val="32"/>
        </w:rPr>
      </w:pPr>
    </w:p>
    <w:p w14:paraId="60D669D5">
      <w:pPr>
        <w:autoSpaceDE w:val="0"/>
        <w:autoSpaceDN w:val="0"/>
        <w:adjustRightInd w:val="0"/>
        <w:snapToGrid w:val="0"/>
        <w:rPr>
          <w:rFonts w:hint="eastAsia" w:ascii="仿宋_GB2312" w:eastAsia="仿宋_GB2312"/>
          <w:b/>
          <w:sz w:val="32"/>
          <w:szCs w:val="32"/>
        </w:rPr>
      </w:pPr>
    </w:p>
    <w:p w14:paraId="0F5757E9">
      <w:pPr>
        <w:autoSpaceDE w:val="0"/>
        <w:autoSpaceDN w:val="0"/>
        <w:adjustRightInd w:val="0"/>
        <w:snapToGrid w:val="0"/>
        <w:rPr>
          <w:rFonts w:hint="eastAsia" w:ascii="仿宋_GB2312" w:eastAsia="仿宋_GB2312"/>
          <w:b/>
          <w:sz w:val="32"/>
          <w:szCs w:val="32"/>
        </w:rPr>
      </w:pPr>
    </w:p>
    <w:p w14:paraId="023C1D9B">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14:paraId="7B1085F7">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14:paraId="10DDE029">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542C1971">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14:paraId="2732CF57">
      <w:pPr>
        <w:pStyle w:val="5"/>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14:paraId="0F8FC057">
      <w:pPr>
        <w:spacing w:line="360" w:lineRule="auto"/>
        <w:ind w:firstLine="640" w:firstLineChars="200"/>
        <w:rPr>
          <w:rFonts w:ascii="仿宋_GB2312" w:hAnsi="宋体" w:eastAsia="仿宋_GB2312"/>
          <w:sz w:val="32"/>
          <w:szCs w:val="32"/>
        </w:rPr>
      </w:pPr>
    </w:p>
    <w:p w14:paraId="3889E630">
      <w:pPr>
        <w:spacing w:line="360" w:lineRule="auto"/>
        <w:rPr>
          <w:rFonts w:ascii="仿宋_GB2312" w:hAnsi="宋体" w:eastAsia="仿宋_GB2312"/>
          <w:sz w:val="32"/>
          <w:szCs w:val="32"/>
        </w:rPr>
      </w:pPr>
    </w:p>
    <w:p w14:paraId="47F3B029">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14:paraId="29F7465A">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14:paraId="1567CECC">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14:paraId="5674C769">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14:paraId="72E1091F">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14:paraId="25AA4681">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14:paraId="3E0AD098">
      <w:pPr>
        <w:widowControl/>
        <w:jc w:val="left"/>
        <w:rPr>
          <w:rFonts w:ascii="仿宋_GB2312" w:eastAsia="仿宋_GB2312"/>
          <w:b/>
          <w:sz w:val="32"/>
          <w:szCs w:val="32"/>
        </w:rPr>
      </w:pPr>
      <w:r>
        <w:rPr>
          <w:rFonts w:ascii="仿宋_GB2312" w:eastAsia="仿宋_GB2312"/>
          <w:b/>
          <w:sz w:val="32"/>
          <w:szCs w:val="32"/>
        </w:rPr>
        <w:br w:type="page"/>
      </w:r>
    </w:p>
    <w:p w14:paraId="7F78ECB5">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14:paraId="423A12FA">
      <w:pPr>
        <w:autoSpaceDE w:val="0"/>
        <w:autoSpaceDN w:val="0"/>
        <w:adjustRightInd w:val="0"/>
        <w:snapToGrid w:val="0"/>
        <w:rPr>
          <w:rFonts w:ascii="仿宋_GB2312" w:eastAsia="仿宋_GB2312"/>
          <w:b/>
          <w:sz w:val="32"/>
          <w:szCs w:val="32"/>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14:paraId="7D54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14:paraId="1E50C978">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14:paraId="6171F0EE">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14:paraId="0949BA3F">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14:paraId="0119727F">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14:paraId="43C94D42">
            <w:pPr>
              <w:spacing w:line="360" w:lineRule="auto"/>
              <w:rPr>
                <w:sz w:val="24"/>
              </w:rPr>
            </w:pPr>
            <w:r>
              <w:rPr>
                <w:rFonts w:hint="eastAsia"/>
                <w:sz w:val="24"/>
              </w:rPr>
              <w:t>单  价</w:t>
            </w:r>
          </w:p>
          <w:p w14:paraId="2A0D863F">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14:paraId="1D81F5BE">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14:paraId="4670E28D">
            <w:pPr>
              <w:spacing w:line="360" w:lineRule="auto"/>
              <w:jc w:val="center"/>
              <w:rPr>
                <w:sz w:val="24"/>
              </w:rPr>
            </w:pPr>
            <w:r>
              <w:rPr>
                <w:rFonts w:hint="eastAsia"/>
                <w:sz w:val="24"/>
              </w:rPr>
              <w:t>合  价</w:t>
            </w:r>
          </w:p>
          <w:p w14:paraId="31FE47CD">
            <w:pPr>
              <w:spacing w:line="360" w:lineRule="auto"/>
              <w:jc w:val="center"/>
              <w:rPr>
                <w:sz w:val="24"/>
              </w:rPr>
            </w:pPr>
            <w:r>
              <w:rPr>
                <w:rFonts w:hint="eastAsia"/>
                <w:sz w:val="24"/>
              </w:rPr>
              <w:t>（元）</w:t>
            </w:r>
          </w:p>
        </w:tc>
      </w:tr>
      <w:tr w14:paraId="2BF3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14:paraId="47BE3BB1">
            <w:pPr>
              <w:spacing w:line="360" w:lineRule="auto"/>
              <w:jc w:val="left"/>
              <w:rPr>
                <w:sz w:val="24"/>
              </w:rPr>
            </w:pPr>
            <w:r>
              <w:rPr>
                <w:rFonts w:hint="eastAsia"/>
                <w:sz w:val="24"/>
              </w:rPr>
              <w:t>1</w:t>
            </w:r>
          </w:p>
        </w:tc>
        <w:tc>
          <w:tcPr>
            <w:tcW w:w="1653" w:type="dxa"/>
            <w:tcBorders>
              <w:top w:val="single" w:color="auto" w:sz="12" w:space="0"/>
            </w:tcBorders>
            <w:vAlign w:val="center"/>
          </w:tcPr>
          <w:p w14:paraId="21919C99">
            <w:pPr>
              <w:spacing w:line="360" w:lineRule="auto"/>
              <w:jc w:val="left"/>
              <w:rPr>
                <w:sz w:val="24"/>
              </w:rPr>
            </w:pPr>
          </w:p>
        </w:tc>
        <w:tc>
          <w:tcPr>
            <w:tcW w:w="796" w:type="dxa"/>
            <w:tcBorders>
              <w:top w:val="single" w:color="auto" w:sz="12" w:space="0"/>
            </w:tcBorders>
            <w:vAlign w:val="center"/>
          </w:tcPr>
          <w:p w14:paraId="7337580A">
            <w:pPr>
              <w:spacing w:line="360" w:lineRule="auto"/>
              <w:jc w:val="left"/>
              <w:rPr>
                <w:sz w:val="24"/>
              </w:rPr>
            </w:pPr>
          </w:p>
        </w:tc>
        <w:tc>
          <w:tcPr>
            <w:tcW w:w="1920" w:type="dxa"/>
            <w:tcBorders>
              <w:top w:val="single" w:color="auto" w:sz="12" w:space="0"/>
            </w:tcBorders>
            <w:vAlign w:val="center"/>
          </w:tcPr>
          <w:p w14:paraId="5902CBB1">
            <w:pPr>
              <w:spacing w:line="360" w:lineRule="auto"/>
              <w:jc w:val="left"/>
              <w:rPr>
                <w:sz w:val="24"/>
              </w:rPr>
            </w:pPr>
          </w:p>
        </w:tc>
        <w:tc>
          <w:tcPr>
            <w:tcW w:w="1390" w:type="dxa"/>
            <w:tcBorders>
              <w:top w:val="single" w:color="auto" w:sz="12" w:space="0"/>
            </w:tcBorders>
            <w:vAlign w:val="center"/>
          </w:tcPr>
          <w:p w14:paraId="5F8C55F5">
            <w:pPr>
              <w:spacing w:line="360" w:lineRule="auto"/>
              <w:jc w:val="left"/>
              <w:rPr>
                <w:sz w:val="24"/>
              </w:rPr>
            </w:pPr>
          </w:p>
        </w:tc>
        <w:tc>
          <w:tcPr>
            <w:tcW w:w="1091" w:type="dxa"/>
            <w:tcBorders>
              <w:top w:val="single" w:color="auto" w:sz="12" w:space="0"/>
            </w:tcBorders>
            <w:vAlign w:val="center"/>
          </w:tcPr>
          <w:p w14:paraId="4FF4D327">
            <w:pPr>
              <w:spacing w:line="360" w:lineRule="auto"/>
              <w:jc w:val="left"/>
              <w:rPr>
                <w:sz w:val="24"/>
              </w:rPr>
            </w:pPr>
          </w:p>
        </w:tc>
        <w:tc>
          <w:tcPr>
            <w:tcW w:w="1392" w:type="dxa"/>
            <w:tcBorders>
              <w:top w:val="single" w:color="auto" w:sz="12" w:space="0"/>
              <w:right w:val="single" w:color="auto" w:sz="12" w:space="0"/>
            </w:tcBorders>
            <w:vAlign w:val="center"/>
          </w:tcPr>
          <w:p w14:paraId="205432FA">
            <w:pPr>
              <w:spacing w:line="360" w:lineRule="auto"/>
              <w:jc w:val="left"/>
              <w:rPr>
                <w:sz w:val="24"/>
              </w:rPr>
            </w:pPr>
          </w:p>
        </w:tc>
      </w:tr>
      <w:tr w14:paraId="7898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258637F4">
            <w:pPr>
              <w:spacing w:line="360" w:lineRule="auto"/>
              <w:jc w:val="left"/>
              <w:rPr>
                <w:sz w:val="24"/>
              </w:rPr>
            </w:pPr>
            <w:r>
              <w:rPr>
                <w:rFonts w:hint="eastAsia"/>
                <w:sz w:val="24"/>
              </w:rPr>
              <w:t>2</w:t>
            </w:r>
          </w:p>
        </w:tc>
        <w:tc>
          <w:tcPr>
            <w:tcW w:w="1653" w:type="dxa"/>
            <w:vAlign w:val="center"/>
          </w:tcPr>
          <w:p w14:paraId="3D52CDEC">
            <w:pPr>
              <w:spacing w:line="360" w:lineRule="auto"/>
              <w:jc w:val="left"/>
              <w:rPr>
                <w:sz w:val="24"/>
              </w:rPr>
            </w:pPr>
          </w:p>
        </w:tc>
        <w:tc>
          <w:tcPr>
            <w:tcW w:w="796" w:type="dxa"/>
            <w:vAlign w:val="center"/>
          </w:tcPr>
          <w:p w14:paraId="623121FF">
            <w:pPr>
              <w:spacing w:line="360" w:lineRule="auto"/>
              <w:jc w:val="left"/>
              <w:rPr>
                <w:sz w:val="24"/>
              </w:rPr>
            </w:pPr>
          </w:p>
        </w:tc>
        <w:tc>
          <w:tcPr>
            <w:tcW w:w="1920" w:type="dxa"/>
            <w:vAlign w:val="center"/>
          </w:tcPr>
          <w:p w14:paraId="5CACC34C">
            <w:pPr>
              <w:spacing w:line="360" w:lineRule="auto"/>
              <w:jc w:val="left"/>
              <w:rPr>
                <w:sz w:val="24"/>
              </w:rPr>
            </w:pPr>
          </w:p>
        </w:tc>
        <w:tc>
          <w:tcPr>
            <w:tcW w:w="1390" w:type="dxa"/>
            <w:vAlign w:val="center"/>
          </w:tcPr>
          <w:p w14:paraId="34E0997A">
            <w:pPr>
              <w:spacing w:line="360" w:lineRule="auto"/>
              <w:jc w:val="left"/>
              <w:rPr>
                <w:sz w:val="24"/>
              </w:rPr>
            </w:pPr>
          </w:p>
        </w:tc>
        <w:tc>
          <w:tcPr>
            <w:tcW w:w="1091" w:type="dxa"/>
            <w:vAlign w:val="center"/>
          </w:tcPr>
          <w:p w14:paraId="47677ECA">
            <w:pPr>
              <w:spacing w:line="360" w:lineRule="auto"/>
              <w:jc w:val="left"/>
              <w:rPr>
                <w:sz w:val="24"/>
              </w:rPr>
            </w:pPr>
          </w:p>
        </w:tc>
        <w:tc>
          <w:tcPr>
            <w:tcW w:w="1392" w:type="dxa"/>
            <w:tcBorders>
              <w:right w:val="single" w:color="auto" w:sz="12" w:space="0"/>
            </w:tcBorders>
            <w:vAlign w:val="center"/>
          </w:tcPr>
          <w:p w14:paraId="7F38D49D">
            <w:pPr>
              <w:spacing w:line="360" w:lineRule="auto"/>
              <w:jc w:val="left"/>
              <w:rPr>
                <w:sz w:val="24"/>
              </w:rPr>
            </w:pPr>
          </w:p>
        </w:tc>
      </w:tr>
      <w:tr w14:paraId="6AA6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1BF9B3A">
            <w:pPr>
              <w:spacing w:line="360" w:lineRule="auto"/>
              <w:jc w:val="left"/>
              <w:rPr>
                <w:sz w:val="24"/>
              </w:rPr>
            </w:pPr>
            <w:r>
              <w:rPr>
                <w:rFonts w:hint="eastAsia"/>
                <w:sz w:val="24"/>
              </w:rPr>
              <w:t>3</w:t>
            </w:r>
          </w:p>
        </w:tc>
        <w:tc>
          <w:tcPr>
            <w:tcW w:w="1653" w:type="dxa"/>
            <w:vAlign w:val="center"/>
          </w:tcPr>
          <w:p w14:paraId="736F7DD8">
            <w:pPr>
              <w:spacing w:line="360" w:lineRule="auto"/>
              <w:jc w:val="left"/>
              <w:rPr>
                <w:sz w:val="24"/>
              </w:rPr>
            </w:pPr>
          </w:p>
        </w:tc>
        <w:tc>
          <w:tcPr>
            <w:tcW w:w="796" w:type="dxa"/>
            <w:vAlign w:val="center"/>
          </w:tcPr>
          <w:p w14:paraId="15E78356">
            <w:pPr>
              <w:spacing w:line="360" w:lineRule="auto"/>
              <w:jc w:val="left"/>
              <w:rPr>
                <w:sz w:val="24"/>
              </w:rPr>
            </w:pPr>
          </w:p>
        </w:tc>
        <w:tc>
          <w:tcPr>
            <w:tcW w:w="1920" w:type="dxa"/>
            <w:vAlign w:val="center"/>
          </w:tcPr>
          <w:p w14:paraId="614B1F3A">
            <w:pPr>
              <w:spacing w:line="360" w:lineRule="auto"/>
              <w:jc w:val="left"/>
              <w:rPr>
                <w:sz w:val="24"/>
              </w:rPr>
            </w:pPr>
          </w:p>
        </w:tc>
        <w:tc>
          <w:tcPr>
            <w:tcW w:w="1390" w:type="dxa"/>
            <w:vAlign w:val="center"/>
          </w:tcPr>
          <w:p w14:paraId="4C156DB5">
            <w:pPr>
              <w:spacing w:line="360" w:lineRule="auto"/>
              <w:jc w:val="left"/>
              <w:rPr>
                <w:sz w:val="24"/>
              </w:rPr>
            </w:pPr>
          </w:p>
        </w:tc>
        <w:tc>
          <w:tcPr>
            <w:tcW w:w="1091" w:type="dxa"/>
            <w:vAlign w:val="center"/>
          </w:tcPr>
          <w:p w14:paraId="5B49E0EB">
            <w:pPr>
              <w:spacing w:line="360" w:lineRule="auto"/>
              <w:jc w:val="left"/>
              <w:rPr>
                <w:sz w:val="24"/>
              </w:rPr>
            </w:pPr>
          </w:p>
        </w:tc>
        <w:tc>
          <w:tcPr>
            <w:tcW w:w="1392" w:type="dxa"/>
            <w:tcBorders>
              <w:right w:val="single" w:color="auto" w:sz="12" w:space="0"/>
            </w:tcBorders>
            <w:vAlign w:val="center"/>
          </w:tcPr>
          <w:p w14:paraId="718AF909">
            <w:pPr>
              <w:spacing w:line="360" w:lineRule="auto"/>
              <w:jc w:val="left"/>
              <w:rPr>
                <w:sz w:val="24"/>
              </w:rPr>
            </w:pPr>
          </w:p>
        </w:tc>
      </w:tr>
      <w:tr w14:paraId="7FC7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5C5F22B7">
            <w:pPr>
              <w:spacing w:line="360" w:lineRule="auto"/>
              <w:jc w:val="left"/>
              <w:rPr>
                <w:sz w:val="24"/>
              </w:rPr>
            </w:pPr>
            <w:r>
              <w:rPr>
                <w:rFonts w:hint="eastAsia"/>
                <w:sz w:val="24"/>
              </w:rPr>
              <w:t>4</w:t>
            </w:r>
          </w:p>
        </w:tc>
        <w:tc>
          <w:tcPr>
            <w:tcW w:w="1653" w:type="dxa"/>
            <w:vAlign w:val="center"/>
          </w:tcPr>
          <w:p w14:paraId="79CECA7D">
            <w:pPr>
              <w:spacing w:line="360" w:lineRule="auto"/>
              <w:jc w:val="left"/>
              <w:rPr>
                <w:sz w:val="24"/>
              </w:rPr>
            </w:pPr>
          </w:p>
        </w:tc>
        <w:tc>
          <w:tcPr>
            <w:tcW w:w="796" w:type="dxa"/>
            <w:vAlign w:val="center"/>
          </w:tcPr>
          <w:p w14:paraId="214858DA">
            <w:pPr>
              <w:spacing w:line="360" w:lineRule="auto"/>
              <w:jc w:val="left"/>
              <w:rPr>
                <w:sz w:val="24"/>
              </w:rPr>
            </w:pPr>
          </w:p>
        </w:tc>
        <w:tc>
          <w:tcPr>
            <w:tcW w:w="1920" w:type="dxa"/>
            <w:vAlign w:val="center"/>
          </w:tcPr>
          <w:p w14:paraId="43DFE998">
            <w:pPr>
              <w:spacing w:line="360" w:lineRule="auto"/>
              <w:jc w:val="left"/>
              <w:rPr>
                <w:sz w:val="24"/>
              </w:rPr>
            </w:pPr>
          </w:p>
        </w:tc>
        <w:tc>
          <w:tcPr>
            <w:tcW w:w="1390" w:type="dxa"/>
            <w:vAlign w:val="center"/>
          </w:tcPr>
          <w:p w14:paraId="71923C37">
            <w:pPr>
              <w:spacing w:line="360" w:lineRule="auto"/>
              <w:jc w:val="left"/>
              <w:rPr>
                <w:sz w:val="24"/>
              </w:rPr>
            </w:pPr>
          </w:p>
        </w:tc>
        <w:tc>
          <w:tcPr>
            <w:tcW w:w="1091" w:type="dxa"/>
            <w:vAlign w:val="center"/>
          </w:tcPr>
          <w:p w14:paraId="34A8A3BA">
            <w:pPr>
              <w:spacing w:line="360" w:lineRule="auto"/>
              <w:jc w:val="left"/>
              <w:rPr>
                <w:sz w:val="24"/>
              </w:rPr>
            </w:pPr>
          </w:p>
        </w:tc>
        <w:tc>
          <w:tcPr>
            <w:tcW w:w="1392" w:type="dxa"/>
            <w:tcBorders>
              <w:right w:val="single" w:color="auto" w:sz="12" w:space="0"/>
            </w:tcBorders>
            <w:vAlign w:val="center"/>
          </w:tcPr>
          <w:p w14:paraId="6D7325F1">
            <w:pPr>
              <w:spacing w:line="360" w:lineRule="auto"/>
              <w:jc w:val="left"/>
              <w:rPr>
                <w:sz w:val="24"/>
              </w:rPr>
            </w:pPr>
          </w:p>
        </w:tc>
      </w:tr>
      <w:tr w14:paraId="0899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515F3B84">
            <w:pPr>
              <w:spacing w:line="360" w:lineRule="auto"/>
              <w:jc w:val="left"/>
              <w:rPr>
                <w:sz w:val="24"/>
              </w:rPr>
            </w:pPr>
            <w:r>
              <w:rPr>
                <w:rFonts w:hint="eastAsia"/>
                <w:sz w:val="24"/>
              </w:rPr>
              <w:t>5</w:t>
            </w:r>
          </w:p>
        </w:tc>
        <w:tc>
          <w:tcPr>
            <w:tcW w:w="1653" w:type="dxa"/>
            <w:vAlign w:val="center"/>
          </w:tcPr>
          <w:p w14:paraId="35CE569A">
            <w:pPr>
              <w:spacing w:line="360" w:lineRule="auto"/>
              <w:jc w:val="left"/>
              <w:rPr>
                <w:sz w:val="24"/>
              </w:rPr>
            </w:pPr>
            <w:r>
              <w:rPr>
                <w:rFonts w:hint="eastAsia" w:ascii="宋体" w:hAnsi="宋体"/>
                <w:sz w:val="24"/>
              </w:rPr>
              <w:t>……</w:t>
            </w:r>
          </w:p>
        </w:tc>
        <w:tc>
          <w:tcPr>
            <w:tcW w:w="796" w:type="dxa"/>
            <w:vAlign w:val="center"/>
          </w:tcPr>
          <w:p w14:paraId="74FBA9FE">
            <w:pPr>
              <w:spacing w:line="360" w:lineRule="auto"/>
              <w:jc w:val="left"/>
              <w:rPr>
                <w:sz w:val="24"/>
              </w:rPr>
            </w:pPr>
          </w:p>
        </w:tc>
        <w:tc>
          <w:tcPr>
            <w:tcW w:w="1920" w:type="dxa"/>
            <w:vAlign w:val="center"/>
          </w:tcPr>
          <w:p w14:paraId="7A5C3C45">
            <w:pPr>
              <w:spacing w:line="360" w:lineRule="auto"/>
              <w:jc w:val="left"/>
              <w:rPr>
                <w:sz w:val="24"/>
              </w:rPr>
            </w:pPr>
          </w:p>
        </w:tc>
        <w:tc>
          <w:tcPr>
            <w:tcW w:w="1390" w:type="dxa"/>
            <w:vAlign w:val="center"/>
          </w:tcPr>
          <w:p w14:paraId="18881873">
            <w:pPr>
              <w:spacing w:line="360" w:lineRule="auto"/>
              <w:jc w:val="left"/>
              <w:rPr>
                <w:sz w:val="24"/>
              </w:rPr>
            </w:pPr>
          </w:p>
        </w:tc>
        <w:tc>
          <w:tcPr>
            <w:tcW w:w="1091" w:type="dxa"/>
            <w:vAlign w:val="center"/>
          </w:tcPr>
          <w:p w14:paraId="0106A8D5">
            <w:pPr>
              <w:spacing w:line="360" w:lineRule="auto"/>
              <w:jc w:val="left"/>
              <w:rPr>
                <w:sz w:val="24"/>
              </w:rPr>
            </w:pPr>
          </w:p>
        </w:tc>
        <w:tc>
          <w:tcPr>
            <w:tcW w:w="1392" w:type="dxa"/>
            <w:tcBorders>
              <w:right w:val="single" w:color="auto" w:sz="12" w:space="0"/>
            </w:tcBorders>
            <w:vAlign w:val="center"/>
          </w:tcPr>
          <w:p w14:paraId="12805E41">
            <w:pPr>
              <w:spacing w:line="360" w:lineRule="auto"/>
              <w:jc w:val="left"/>
              <w:rPr>
                <w:sz w:val="24"/>
              </w:rPr>
            </w:pPr>
          </w:p>
        </w:tc>
      </w:tr>
      <w:tr w14:paraId="0F69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4DD3C378">
            <w:pPr>
              <w:spacing w:line="360" w:lineRule="auto"/>
              <w:jc w:val="left"/>
              <w:rPr>
                <w:sz w:val="24"/>
              </w:rPr>
            </w:pPr>
            <w:r>
              <w:rPr>
                <w:rFonts w:hint="eastAsia"/>
                <w:sz w:val="24"/>
              </w:rPr>
              <w:t>6</w:t>
            </w:r>
          </w:p>
        </w:tc>
        <w:tc>
          <w:tcPr>
            <w:tcW w:w="1653" w:type="dxa"/>
            <w:vAlign w:val="center"/>
          </w:tcPr>
          <w:p w14:paraId="24EA332C">
            <w:pPr>
              <w:spacing w:line="360" w:lineRule="auto"/>
              <w:jc w:val="left"/>
              <w:rPr>
                <w:sz w:val="24"/>
              </w:rPr>
            </w:pPr>
            <w:r>
              <w:rPr>
                <w:rFonts w:hint="eastAsia" w:ascii="宋体" w:hAnsi="宋体"/>
                <w:sz w:val="24"/>
              </w:rPr>
              <w:t>……</w:t>
            </w:r>
          </w:p>
        </w:tc>
        <w:tc>
          <w:tcPr>
            <w:tcW w:w="796" w:type="dxa"/>
            <w:vAlign w:val="center"/>
          </w:tcPr>
          <w:p w14:paraId="743E3372">
            <w:pPr>
              <w:spacing w:line="360" w:lineRule="auto"/>
              <w:jc w:val="left"/>
              <w:rPr>
                <w:sz w:val="24"/>
              </w:rPr>
            </w:pPr>
          </w:p>
        </w:tc>
        <w:tc>
          <w:tcPr>
            <w:tcW w:w="1920" w:type="dxa"/>
            <w:vAlign w:val="center"/>
          </w:tcPr>
          <w:p w14:paraId="0A3FC4A2">
            <w:pPr>
              <w:spacing w:line="360" w:lineRule="auto"/>
              <w:jc w:val="left"/>
              <w:rPr>
                <w:sz w:val="24"/>
              </w:rPr>
            </w:pPr>
          </w:p>
        </w:tc>
        <w:tc>
          <w:tcPr>
            <w:tcW w:w="1390" w:type="dxa"/>
            <w:vAlign w:val="center"/>
          </w:tcPr>
          <w:p w14:paraId="74D5B7DA">
            <w:pPr>
              <w:spacing w:line="360" w:lineRule="auto"/>
              <w:jc w:val="left"/>
              <w:rPr>
                <w:sz w:val="24"/>
              </w:rPr>
            </w:pPr>
          </w:p>
        </w:tc>
        <w:tc>
          <w:tcPr>
            <w:tcW w:w="1091" w:type="dxa"/>
            <w:vAlign w:val="center"/>
          </w:tcPr>
          <w:p w14:paraId="41ACFAF3">
            <w:pPr>
              <w:spacing w:line="360" w:lineRule="auto"/>
              <w:jc w:val="left"/>
              <w:rPr>
                <w:sz w:val="24"/>
              </w:rPr>
            </w:pPr>
          </w:p>
        </w:tc>
        <w:tc>
          <w:tcPr>
            <w:tcW w:w="1392" w:type="dxa"/>
            <w:tcBorders>
              <w:right w:val="single" w:color="auto" w:sz="12" w:space="0"/>
            </w:tcBorders>
            <w:vAlign w:val="center"/>
          </w:tcPr>
          <w:p w14:paraId="1732272D">
            <w:pPr>
              <w:spacing w:line="360" w:lineRule="auto"/>
              <w:jc w:val="left"/>
              <w:rPr>
                <w:sz w:val="24"/>
              </w:rPr>
            </w:pPr>
          </w:p>
        </w:tc>
      </w:tr>
      <w:tr w14:paraId="702B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66FC6A38">
            <w:pPr>
              <w:spacing w:line="360" w:lineRule="auto"/>
              <w:jc w:val="left"/>
              <w:rPr>
                <w:sz w:val="24"/>
              </w:rPr>
            </w:pPr>
          </w:p>
        </w:tc>
        <w:tc>
          <w:tcPr>
            <w:tcW w:w="1653" w:type="dxa"/>
            <w:vAlign w:val="center"/>
          </w:tcPr>
          <w:p w14:paraId="164CC9D6">
            <w:pPr>
              <w:spacing w:line="360" w:lineRule="auto"/>
              <w:jc w:val="left"/>
              <w:rPr>
                <w:sz w:val="24"/>
              </w:rPr>
            </w:pPr>
          </w:p>
        </w:tc>
        <w:tc>
          <w:tcPr>
            <w:tcW w:w="796" w:type="dxa"/>
            <w:vAlign w:val="center"/>
          </w:tcPr>
          <w:p w14:paraId="7D314B50">
            <w:pPr>
              <w:spacing w:line="360" w:lineRule="auto"/>
              <w:jc w:val="left"/>
              <w:rPr>
                <w:sz w:val="24"/>
              </w:rPr>
            </w:pPr>
          </w:p>
        </w:tc>
        <w:tc>
          <w:tcPr>
            <w:tcW w:w="1920" w:type="dxa"/>
            <w:vAlign w:val="center"/>
          </w:tcPr>
          <w:p w14:paraId="35161B19">
            <w:pPr>
              <w:spacing w:line="360" w:lineRule="auto"/>
              <w:jc w:val="left"/>
              <w:rPr>
                <w:sz w:val="24"/>
              </w:rPr>
            </w:pPr>
          </w:p>
        </w:tc>
        <w:tc>
          <w:tcPr>
            <w:tcW w:w="1390" w:type="dxa"/>
            <w:vAlign w:val="center"/>
          </w:tcPr>
          <w:p w14:paraId="59AFCA9D">
            <w:pPr>
              <w:spacing w:line="360" w:lineRule="auto"/>
              <w:jc w:val="left"/>
              <w:rPr>
                <w:sz w:val="24"/>
              </w:rPr>
            </w:pPr>
          </w:p>
        </w:tc>
        <w:tc>
          <w:tcPr>
            <w:tcW w:w="1091" w:type="dxa"/>
            <w:vAlign w:val="center"/>
          </w:tcPr>
          <w:p w14:paraId="0D494F82">
            <w:pPr>
              <w:spacing w:line="360" w:lineRule="auto"/>
              <w:jc w:val="left"/>
              <w:rPr>
                <w:sz w:val="24"/>
              </w:rPr>
            </w:pPr>
          </w:p>
        </w:tc>
        <w:tc>
          <w:tcPr>
            <w:tcW w:w="1392" w:type="dxa"/>
            <w:tcBorders>
              <w:right w:val="single" w:color="auto" w:sz="12" w:space="0"/>
            </w:tcBorders>
            <w:vAlign w:val="center"/>
          </w:tcPr>
          <w:p w14:paraId="5BB2443B">
            <w:pPr>
              <w:spacing w:line="360" w:lineRule="auto"/>
              <w:jc w:val="left"/>
              <w:rPr>
                <w:sz w:val="24"/>
              </w:rPr>
            </w:pPr>
          </w:p>
        </w:tc>
      </w:tr>
      <w:tr w14:paraId="3DEB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14:paraId="76A76BD8">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14:paraId="74FE9369">
            <w:pPr>
              <w:spacing w:line="360" w:lineRule="auto"/>
              <w:jc w:val="left"/>
              <w:rPr>
                <w:sz w:val="24"/>
              </w:rPr>
            </w:pPr>
            <w:r>
              <w:rPr>
                <w:rFonts w:hint="eastAsia"/>
                <w:sz w:val="24"/>
              </w:rPr>
              <w:t xml:space="preserve">                                      万元</w:t>
            </w:r>
          </w:p>
        </w:tc>
      </w:tr>
    </w:tbl>
    <w:p w14:paraId="7DAACDF4">
      <w:pPr>
        <w:spacing w:line="360" w:lineRule="auto"/>
        <w:jc w:val="left"/>
        <w:rPr>
          <w:sz w:val="24"/>
        </w:rPr>
      </w:pPr>
      <w:r>
        <w:rPr>
          <w:rFonts w:hint="eastAsia"/>
          <w:sz w:val="24"/>
        </w:rPr>
        <w:t xml:space="preserve">  供应商（盖章）：            法定代表或授权代表（签字或盖章）：</w:t>
      </w:r>
    </w:p>
    <w:p w14:paraId="62D8E397">
      <w:pPr>
        <w:widowControl/>
        <w:jc w:val="left"/>
        <w:rPr>
          <w:rFonts w:ascii="仿宋_GB2312" w:eastAsia="仿宋_GB2312"/>
          <w:b/>
          <w:sz w:val="32"/>
          <w:szCs w:val="32"/>
        </w:rPr>
      </w:pPr>
    </w:p>
    <w:p w14:paraId="14B92835">
      <w:pPr>
        <w:rPr>
          <w:rFonts w:ascii="仿宋_GB2312" w:eastAsia="仿宋_GB2312"/>
          <w:b/>
          <w:sz w:val="32"/>
          <w:szCs w:val="32"/>
        </w:rPr>
      </w:pPr>
      <w:r>
        <w:rPr>
          <w:rFonts w:hint="eastAsia" w:ascii="仿宋_GB2312" w:eastAsia="仿宋_GB2312"/>
          <w:b/>
          <w:sz w:val="32"/>
          <w:szCs w:val="32"/>
        </w:rPr>
        <w:br w:type="page"/>
      </w:r>
    </w:p>
    <w:p w14:paraId="13FF8787">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14:paraId="27B318CC">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7A98D057">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66B98108">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14:paraId="77F3F297">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064A7BAE">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21E094C9">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7B9A869D">
      <w:pPr>
        <w:snapToGrid w:val="0"/>
        <w:spacing w:before="156" w:beforeLines="50" w:after="50" w:line="360" w:lineRule="auto"/>
        <w:rPr>
          <w:rFonts w:ascii="仿宋_GB2312" w:eastAsia="仿宋_GB2312"/>
          <w:sz w:val="32"/>
          <w:szCs w:val="32"/>
        </w:rPr>
      </w:pPr>
    </w:p>
    <w:p w14:paraId="68E66F49">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14:paraId="43A16679">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14:paraId="5B115541">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14:paraId="0F136C2F">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201C513B">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19A146D6">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398BE508">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14:paraId="545D47D4">
      <w:pPr>
        <w:autoSpaceDE w:val="0"/>
        <w:autoSpaceDN w:val="0"/>
        <w:adjustRightInd w:val="0"/>
        <w:snapToGrid w:val="0"/>
        <w:rPr>
          <w:rFonts w:ascii="仿宋_GB2312" w:eastAsia="仿宋_GB2312"/>
          <w:b/>
          <w:sz w:val="32"/>
          <w:szCs w:val="32"/>
        </w:rPr>
      </w:pPr>
    </w:p>
    <w:p w14:paraId="1673A6A1">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2B0C4E42">
      <w:pPr>
        <w:pStyle w:val="8"/>
        <w:ind w:left="528" w:hanging="528"/>
      </w:pPr>
    </w:p>
    <w:p w14:paraId="5626E57B">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427F6509">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2D7A0C25">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26AE1931">
      <w:pPr>
        <w:autoSpaceDE w:val="0"/>
        <w:autoSpaceDN w:val="0"/>
        <w:adjustRightInd w:val="0"/>
        <w:snapToGrid w:val="0"/>
        <w:spacing w:line="360" w:lineRule="auto"/>
        <w:rPr>
          <w:rFonts w:ascii="仿宋_GB2312" w:eastAsia="仿宋_GB2312"/>
          <w:sz w:val="32"/>
          <w:szCs w:val="32"/>
        </w:rPr>
      </w:pPr>
    </w:p>
    <w:p w14:paraId="48881EC4">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33C846F2">
      <w:pPr>
        <w:autoSpaceDE w:val="0"/>
        <w:autoSpaceDN w:val="0"/>
        <w:adjustRightInd w:val="0"/>
        <w:snapToGrid w:val="0"/>
        <w:spacing w:line="360" w:lineRule="auto"/>
        <w:ind w:firstLine="640" w:firstLineChars="200"/>
        <w:rPr>
          <w:rFonts w:ascii="仿宋_GB2312" w:eastAsia="仿宋_GB2312"/>
          <w:sz w:val="32"/>
          <w:szCs w:val="32"/>
        </w:rPr>
      </w:pPr>
    </w:p>
    <w:p w14:paraId="36F8BE11">
      <w:pPr>
        <w:autoSpaceDE w:val="0"/>
        <w:autoSpaceDN w:val="0"/>
        <w:adjustRightInd w:val="0"/>
        <w:snapToGrid w:val="0"/>
        <w:spacing w:line="360" w:lineRule="auto"/>
        <w:ind w:firstLine="640" w:firstLineChars="200"/>
        <w:rPr>
          <w:rFonts w:ascii="仿宋_GB2312" w:eastAsia="仿宋_GB2312"/>
          <w:sz w:val="32"/>
          <w:szCs w:val="32"/>
        </w:rPr>
      </w:pPr>
    </w:p>
    <w:p w14:paraId="1DB63094">
      <w:pPr>
        <w:autoSpaceDE w:val="0"/>
        <w:autoSpaceDN w:val="0"/>
        <w:adjustRightInd w:val="0"/>
        <w:snapToGrid w:val="0"/>
        <w:spacing w:line="360" w:lineRule="auto"/>
        <w:ind w:firstLine="640" w:firstLineChars="200"/>
        <w:rPr>
          <w:rFonts w:ascii="仿宋_GB2312" w:eastAsia="仿宋_GB2312"/>
          <w:sz w:val="32"/>
          <w:szCs w:val="32"/>
        </w:rPr>
      </w:pPr>
    </w:p>
    <w:p w14:paraId="4E9B2D7F">
      <w:pPr>
        <w:autoSpaceDE w:val="0"/>
        <w:autoSpaceDN w:val="0"/>
        <w:adjustRightInd w:val="0"/>
        <w:snapToGrid w:val="0"/>
        <w:spacing w:line="360" w:lineRule="auto"/>
        <w:ind w:firstLine="640" w:firstLineChars="200"/>
        <w:rPr>
          <w:rFonts w:ascii="仿宋_GB2312" w:eastAsia="仿宋_GB2312"/>
          <w:sz w:val="32"/>
          <w:szCs w:val="32"/>
        </w:rPr>
      </w:pPr>
    </w:p>
    <w:p w14:paraId="44072A2C">
      <w:pPr>
        <w:autoSpaceDE w:val="0"/>
        <w:autoSpaceDN w:val="0"/>
        <w:adjustRightInd w:val="0"/>
        <w:snapToGrid w:val="0"/>
        <w:spacing w:line="360" w:lineRule="auto"/>
        <w:ind w:firstLine="640" w:firstLineChars="200"/>
        <w:rPr>
          <w:rFonts w:ascii="仿宋_GB2312" w:eastAsia="仿宋_GB2312"/>
          <w:sz w:val="32"/>
          <w:szCs w:val="32"/>
        </w:rPr>
      </w:pPr>
    </w:p>
    <w:p w14:paraId="5CDB7299">
      <w:pPr>
        <w:autoSpaceDE w:val="0"/>
        <w:autoSpaceDN w:val="0"/>
        <w:adjustRightInd w:val="0"/>
        <w:snapToGrid w:val="0"/>
        <w:spacing w:line="360" w:lineRule="auto"/>
        <w:ind w:firstLine="1920" w:firstLineChars="600"/>
        <w:rPr>
          <w:rFonts w:hint="eastAsia" w:ascii="仿宋_GB2312" w:eastAsia="仿宋_GB2312"/>
          <w:sz w:val="32"/>
          <w:szCs w:val="32"/>
          <w:lang w:val="en-US" w:eastAsia="zh-CN"/>
        </w:rPr>
      </w:pPr>
      <w:r>
        <w:rPr>
          <w:rFonts w:hint="eastAsia" w:ascii="仿宋_GB2312" w:eastAsia="仿宋_GB2312"/>
          <w:sz w:val="32"/>
          <w:szCs w:val="32"/>
        </w:rPr>
        <w:t>项目名称：</w:t>
      </w:r>
      <w:r>
        <w:rPr>
          <w:rFonts w:hint="eastAsia" w:ascii="仿宋_GB2312" w:eastAsia="仿宋_GB2312"/>
          <w:sz w:val="32"/>
          <w:szCs w:val="32"/>
          <w:lang w:val="en-US" w:eastAsia="zh-CN"/>
        </w:rPr>
        <w:t>浙江大学医学院附属第一医院城站</w:t>
      </w:r>
    </w:p>
    <w:p w14:paraId="7A68C7CA">
      <w:pPr>
        <w:autoSpaceDE w:val="0"/>
        <w:autoSpaceDN w:val="0"/>
        <w:adjustRightInd w:val="0"/>
        <w:snapToGrid w:val="0"/>
        <w:spacing w:line="360" w:lineRule="auto"/>
        <w:ind w:firstLine="2240" w:firstLineChars="700"/>
        <w:rPr>
          <w:rFonts w:ascii="仿宋_GB2312" w:eastAsia="仿宋_GB2312"/>
          <w:sz w:val="32"/>
          <w:szCs w:val="32"/>
        </w:rPr>
      </w:pPr>
      <w:r>
        <w:rPr>
          <w:rFonts w:hint="eastAsia" w:ascii="仿宋_GB2312" w:eastAsia="仿宋_GB2312"/>
          <w:sz w:val="32"/>
          <w:szCs w:val="32"/>
          <w:lang w:val="en-US" w:eastAsia="zh-CN"/>
        </w:rPr>
        <w:t>院区提升改造一期工程消防技术咨询服务</w:t>
      </w:r>
    </w:p>
    <w:p w14:paraId="7F4BC271">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7F32C4BC">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3ED3B0D5">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1AB63C75">
      <w:pPr>
        <w:autoSpaceDE w:val="0"/>
        <w:autoSpaceDN w:val="0"/>
        <w:adjustRightInd w:val="0"/>
        <w:snapToGrid w:val="0"/>
        <w:spacing w:line="360" w:lineRule="auto"/>
        <w:ind w:firstLine="640" w:firstLineChars="200"/>
        <w:jc w:val="right"/>
        <w:rPr>
          <w:rFonts w:ascii="仿宋_GB2312" w:eastAsia="仿宋_GB2312"/>
          <w:sz w:val="32"/>
          <w:szCs w:val="32"/>
        </w:rPr>
      </w:pPr>
    </w:p>
    <w:p w14:paraId="33BADC96">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14:paraId="21FB8670">
      <w:pPr>
        <w:rPr>
          <w:rFonts w:ascii="仿宋_GB2312" w:eastAsia="仿宋_GB2312"/>
          <w:b/>
          <w:sz w:val="32"/>
          <w:szCs w:val="32"/>
        </w:rPr>
      </w:pPr>
      <w:r>
        <w:rPr>
          <w:rFonts w:hint="eastAsia" w:ascii="仿宋_GB2312" w:eastAsia="仿宋_GB2312"/>
          <w:b/>
          <w:sz w:val="32"/>
          <w:szCs w:val="32"/>
        </w:rPr>
        <w:br w:type="page"/>
      </w:r>
      <w:r>
        <w:rPr>
          <w:rFonts w:hint="eastAsia" w:ascii="仿宋_GB2312" w:eastAsia="仿宋_GB2312"/>
          <w:b/>
          <w:sz w:val="32"/>
          <w:szCs w:val="32"/>
        </w:rPr>
        <w:t>附件5：</w:t>
      </w:r>
    </w:p>
    <w:p w14:paraId="07865B72">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4A85AA3C">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14:paraId="71138866">
      <w:pPr>
        <w:autoSpaceDE w:val="0"/>
        <w:autoSpaceDN w:val="0"/>
        <w:adjustRightInd w:val="0"/>
        <w:snapToGrid w:val="0"/>
        <w:rPr>
          <w:rFonts w:ascii="仿宋_GB2312" w:hAnsi="宋体" w:eastAsia="仿宋_GB2312"/>
          <w:sz w:val="28"/>
          <w:szCs w:val="30"/>
          <w:lang w:val="zh-CN"/>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397A48FB">
            <w:pPr>
              <w:pStyle w:val="6"/>
              <w:jc w:val="center"/>
            </w:pPr>
            <w:r>
              <w:rPr>
                <w:lang w:val="zh-CN"/>
              </w:rPr>
              <w:t xml:space="preserve"> </w:t>
            </w:r>
          </w:p>
        </w:sdtContent>
      </w:sdt>
    </w:sdtContent>
  </w:sdt>
  <w:p w14:paraId="7580A05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174A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0B52D">
    <w:pPr>
      <w:pStyle w:val="7"/>
      <w:pBdr>
        <w:bottom w:val="none" w:color="auto" w:sz="0" w:space="0"/>
      </w:pBdr>
      <w:jc w:val="both"/>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蓝雪夜寒">
    <w15:presenceInfo w15:providerId="WPS Office" w15:userId="6755825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MTY4YmNiMTFkNDkzZjlkOGNkNjc4YjNhOGFjMzAifQ=="/>
    <w:docVar w:name="KSO_WPS_MARK_KEY" w:val="f339eddf-a2ce-4c42-ad37-5b0b6cfac631"/>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443939"/>
    <w:rsid w:val="01AE0DE9"/>
    <w:rsid w:val="021B1547"/>
    <w:rsid w:val="026D7E5F"/>
    <w:rsid w:val="0415388F"/>
    <w:rsid w:val="0563090D"/>
    <w:rsid w:val="07442078"/>
    <w:rsid w:val="0933687D"/>
    <w:rsid w:val="094931B5"/>
    <w:rsid w:val="0D3A1F53"/>
    <w:rsid w:val="0E236D71"/>
    <w:rsid w:val="10A047C3"/>
    <w:rsid w:val="11AD559F"/>
    <w:rsid w:val="12130568"/>
    <w:rsid w:val="121A1CF7"/>
    <w:rsid w:val="14E53709"/>
    <w:rsid w:val="168F1DC9"/>
    <w:rsid w:val="19CA7EBF"/>
    <w:rsid w:val="19F85470"/>
    <w:rsid w:val="19FE5F86"/>
    <w:rsid w:val="1C8F0A22"/>
    <w:rsid w:val="1F777407"/>
    <w:rsid w:val="22A26DD5"/>
    <w:rsid w:val="27577695"/>
    <w:rsid w:val="28B61F81"/>
    <w:rsid w:val="2A284902"/>
    <w:rsid w:val="30A92DC8"/>
    <w:rsid w:val="30FB3BB9"/>
    <w:rsid w:val="322366C7"/>
    <w:rsid w:val="350E58F0"/>
    <w:rsid w:val="39FE7EAC"/>
    <w:rsid w:val="3A8A2B8B"/>
    <w:rsid w:val="3BFA04D2"/>
    <w:rsid w:val="3DB63E8D"/>
    <w:rsid w:val="418D1221"/>
    <w:rsid w:val="424C7A58"/>
    <w:rsid w:val="44F52628"/>
    <w:rsid w:val="4A0B7B06"/>
    <w:rsid w:val="4A42408C"/>
    <w:rsid w:val="4C1861F7"/>
    <w:rsid w:val="4CEA0599"/>
    <w:rsid w:val="4D9D0F66"/>
    <w:rsid w:val="4DE33977"/>
    <w:rsid w:val="4EDA65C3"/>
    <w:rsid w:val="4EE53BFB"/>
    <w:rsid w:val="4F76373B"/>
    <w:rsid w:val="4FAE66DD"/>
    <w:rsid w:val="4FF66204"/>
    <w:rsid w:val="50626680"/>
    <w:rsid w:val="529A0378"/>
    <w:rsid w:val="53764934"/>
    <w:rsid w:val="58CB5163"/>
    <w:rsid w:val="59DB0274"/>
    <w:rsid w:val="5E4146A6"/>
    <w:rsid w:val="5EEE6EDD"/>
    <w:rsid w:val="627F1A44"/>
    <w:rsid w:val="66D67A67"/>
    <w:rsid w:val="67D90EF1"/>
    <w:rsid w:val="68DA2E41"/>
    <w:rsid w:val="68E51EE8"/>
    <w:rsid w:val="694C30C1"/>
    <w:rsid w:val="6CCB50AF"/>
    <w:rsid w:val="6D9F60BE"/>
    <w:rsid w:val="6EC152DE"/>
    <w:rsid w:val="6EC2236B"/>
    <w:rsid w:val="6F0F2046"/>
    <w:rsid w:val="72536115"/>
    <w:rsid w:val="72FE2D27"/>
    <w:rsid w:val="73491360"/>
    <w:rsid w:val="79D30CA4"/>
    <w:rsid w:val="7C0D6C58"/>
    <w:rsid w:val="7C201C32"/>
    <w:rsid w:val="7F264BB1"/>
    <w:rsid w:val="7FEB05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spacing w:before="50" w:beforeLines="50" w:beforeAutospacing="0" w:after="50" w:afterLines="50" w:afterAutospacing="0" w:line="240" w:lineRule="auto"/>
      <w:ind w:firstLine="0" w:firstLineChars="0"/>
      <w:jc w:val="center"/>
      <w:outlineLvl w:val="1"/>
    </w:pPr>
    <w:rPr>
      <w:rFonts w:ascii="宋体" w:hAnsi="宋体" w:eastAsia="微软雅黑"/>
      <w:bCs/>
      <w:sz w:val="30"/>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5">
    <w:name w:val="Date"/>
    <w:basedOn w:val="1"/>
    <w:next w:val="1"/>
    <w:link w:val="16"/>
    <w:qFormat/>
    <w:uiPriority w:val="0"/>
    <w:pPr>
      <w:ind w:left="2500" w:leftChars="2500"/>
    </w:pPr>
    <w:rPr>
      <w:sz w:val="44"/>
      <w:szCs w:val="44"/>
      <w:lang w:val="zh-CN"/>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w:basedOn w:val="1"/>
    <w:qFormat/>
    <w:uiPriority w:val="0"/>
    <w:pPr>
      <w:spacing w:line="460" w:lineRule="exact"/>
      <w:ind w:left="200" w:hanging="200" w:hangingChars="200"/>
    </w:pPr>
    <w:rPr>
      <w:spacing w:val="12"/>
      <w:sz w:val="24"/>
      <w:szCs w:val="20"/>
    </w:rPr>
  </w:style>
  <w:style w:type="table" w:styleId="10">
    <w:name w:val="Table Grid"/>
    <w:basedOn w:val="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semiHidden/>
    <w:unhideWhenUsed/>
    <w:qFormat/>
    <w:uiPriority w:val="99"/>
    <w:rPr>
      <w:color w:val="0000FF"/>
      <w:u w:val="single"/>
    </w:rPr>
  </w:style>
  <w:style w:type="paragraph" w:styleId="13">
    <w:name w:val="List Paragraph"/>
    <w:basedOn w:val="1"/>
    <w:qFormat/>
    <w:uiPriority w:val="34"/>
    <w:pPr>
      <w:ind w:firstLine="420" w:firstLineChars="200"/>
    </w:pPr>
  </w:style>
  <w:style w:type="character" w:customStyle="1" w:styleId="14">
    <w:name w:val="页眉 Char"/>
    <w:basedOn w:val="11"/>
    <w:link w:val="7"/>
    <w:qFormat/>
    <w:uiPriority w:val="99"/>
    <w:rPr>
      <w:rFonts w:ascii="Times New Roman" w:hAnsi="Times New Roman" w:eastAsia="宋体" w:cs="Times New Roman"/>
      <w:sz w:val="18"/>
      <w:szCs w:val="18"/>
    </w:rPr>
  </w:style>
  <w:style w:type="character" w:customStyle="1" w:styleId="15">
    <w:name w:val="页脚 Char"/>
    <w:basedOn w:val="11"/>
    <w:link w:val="6"/>
    <w:qFormat/>
    <w:uiPriority w:val="99"/>
    <w:rPr>
      <w:rFonts w:ascii="Times New Roman" w:hAnsi="Times New Roman" w:eastAsia="宋体" w:cs="Times New Roman"/>
      <w:sz w:val="18"/>
      <w:szCs w:val="18"/>
    </w:rPr>
  </w:style>
  <w:style w:type="character" w:customStyle="1" w:styleId="16">
    <w:name w:val="日期 Char"/>
    <w:basedOn w:val="11"/>
    <w:link w:val="5"/>
    <w:qFormat/>
    <w:uiPriority w:val="0"/>
    <w:rPr>
      <w:rFonts w:ascii="Times New Roman" w:hAnsi="Times New Roman" w:eastAsia="宋体" w:cs="Times New Roman"/>
      <w:sz w:val="44"/>
      <w:szCs w:val="44"/>
      <w:lang w:val="zh-CN"/>
    </w:rPr>
  </w:style>
  <w:style w:type="paragraph" w:customStyle="1" w:styleId="17">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1993</Words>
  <Characters>2106</Characters>
  <Lines>23</Lines>
  <Paragraphs>6</Paragraphs>
  <TotalTime>47</TotalTime>
  <ScaleCrop>false</ScaleCrop>
  <LinksUpToDate>false</LinksUpToDate>
  <CharactersWithSpaces>2411</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2022-06-28T09:47:00Z</dcterms:created>
  <dc:creator>陈希琳</dc:creator>
  <cp:lastModifiedBy>王怡</cp:lastModifiedBy>
  <cp:lastPrinted>2020-09-01T07:08:00Z</cp:lastPrinted>
  <dcterms:modified xsi:type="dcterms:W3CDTF">2024-07-11T08:22:34Z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CDB71E85C4EA482AA16261BFBE7E7375_13</vt:lpwstr>
  </property>
</Properties>
</file>