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D5E7C0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 w14:paraId="4817C4FF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6B483135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4D1A3395">
      <w:pPr>
        <w:pStyle w:val="2"/>
        <w:ind w:left="1168" w:hanging="1168"/>
        <w:rPr>
          <w:rFonts w:ascii="宋体"/>
          <w:sz w:val="56"/>
          <w:szCs w:val="56"/>
          <w:lang w:val="zh-CN"/>
        </w:rPr>
      </w:pPr>
    </w:p>
    <w:p w14:paraId="7BFFE336">
      <w:pPr>
        <w:pStyle w:val="2"/>
        <w:ind w:left="1168" w:hanging="1168"/>
        <w:rPr>
          <w:rFonts w:ascii="宋体"/>
          <w:sz w:val="56"/>
          <w:szCs w:val="56"/>
          <w:lang w:val="zh-CN"/>
        </w:rPr>
      </w:pPr>
    </w:p>
    <w:p w14:paraId="17BE0AA2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7B3E6251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</w:t>
      </w:r>
    </w:p>
    <w:p w14:paraId="1FB847D6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1CB1C6C8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6EEB596F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73CBED12">
      <w:pPr>
        <w:pStyle w:val="2"/>
        <w:ind w:left="1168" w:hanging="1168"/>
        <w:rPr>
          <w:sz w:val="56"/>
          <w:szCs w:val="56"/>
          <w:lang w:val="zh-CN"/>
        </w:rPr>
      </w:pPr>
    </w:p>
    <w:p w14:paraId="3DFAAA62">
      <w:pPr>
        <w:pStyle w:val="2"/>
        <w:ind w:left="1168" w:hanging="1168"/>
        <w:rPr>
          <w:sz w:val="56"/>
          <w:szCs w:val="56"/>
          <w:lang w:val="zh-CN"/>
        </w:rPr>
      </w:pPr>
    </w:p>
    <w:p w14:paraId="2ECE2CF6">
      <w:pPr>
        <w:pStyle w:val="2"/>
        <w:ind w:left="1168" w:hanging="1168"/>
        <w:rPr>
          <w:sz w:val="56"/>
          <w:szCs w:val="56"/>
          <w:lang w:val="zh-CN"/>
        </w:rPr>
      </w:pPr>
    </w:p>
    <w:p w14:paraId="020B432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 w:hAnsi="Times New Roman" w:eastAsia="宋体" w:cs="Times New Roman"/>
          <w:sz w:val="40"/>
          <w:szCs w:val="56"/>
          <w:lang w:val="en-US" w:eastAsia="zh-CN"/>
        </w:rPr>
      </w:pPr>
      <w:r>
        <w:rPr>
          <w:rFonts w:hint="eastAsia" w:ascii="宋体"/>
          <w:sz w:val="40"/>
          <w:szCs w:val="56"/>
          <w:lang w:val="zh-CN"/>
        </w:rPr>
        <w:t>项目名称：浙江大学医学院附属第一医院</w:t>
      </w:r>
      <w:r>
        <w:rPr>
          <w:rFonts w:hint="eastAsia" w:ascii="宋体"/>
          <w:sz w:val="40"/>
          <w:szCs w:val="56"/>
          <w:lang w:val="en-US" w:eastAsia="zh-CN"/>
        </w:rPr>
        <w:t>浙江省公共卫生临床中心（浙大一院钱塘院区）一期建设项目沉降观测</w:t>
      </w:r>
    </w:p>
    <w:p w14:paraId="1A37693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 w:eastAsia="宋体"/>
          <w:sz w:val="40"/>
          <w:szCs w:val="56"/>
          <w:lang w:val="en-US" w:eastAsia="zh-CN"/>
        </w:rPr>
      </w:pPr>
    </w:p>
    <w:p w14:paraId="2228BB45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 w:eastAsia="宋体"/>
          <w:sz w:val="40"/>
          <w:szCs w:val="56"/>
          <w:lang w:val="en-US" w:eastAsia="zh-CN"/>
        </w:rPr>
      </w:pPr>
    </w:p>
    <w:p w14:paraId="29CF5005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 w:eastAsia="宋体"/>
          <w:sz w:val="40"/>
          <w:szCs w:val="56"/>
          <w:lang w:val="en-US" w:eastAsia="zh-CN"/>
        </w:rPr>
      </w:pPr>
    </w:p>
    <w:p w14:paraId="59F1C8B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宋体" w:eastAsia="宋体"/>
          <w:sz w:val="40"/>
          <w:szCs w:val="56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eastAsia="宋体"/>
          <w:sz w:val="40"/>
          <w:szCs w:val="56"/>
          <w:lang w:val="en-US" w:eastAsia="zh-CN"/>
        </w:rPr>
        <w:t>2024年</w:t>
      </w:r>
      <w:r>
        <w:rPr>
          <w:rFonts w:hint="eastAsia" w:ascii="宋体"/>
          <w:sz w:val="40"/>
          <w:szCs w:val="56"/>
          <w:lang w:val="en-US" w:eastAsia="zh-CN"/>
        </w:rPr>
        <w:t>8</w:t>
      </w:r>
      <w:r>
        <w:rPr>
          <w:rFonts w:hint="eastAsia" w:ascii="宋体" w:eastAsia="宋体"/>
          <w:sz w:val="40"/>
          <w:szCs w:val="56"/>
          <w:lang w:val="en-US" w:eastAsia="zh-CN"/>
        </w:rPr>
        <w:t>月 日</w:t>
      </w:r>
    </w:p>
    <w:p w14:paraId="43B31BF4"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 w14:paraId="12A7AD65"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</w:t>
      </w:r>
      <w:r>
        <w:rPr>
          <w:rFonts w:hint="eastAsia" w:ascii="仿宋_GB2312" w:eastAsia="仿宋_GB2312"/>
          <w:sz w:val="32"/>
          <w:szCs w:val="32"/>
        </w:rPr>
        <w:t>有关</w:t>
      </w:r>
      <w:r>
        <w:rPr>
          <w:rFonts w:hint="eastAsia" w:ascii="仿宋_GB2312" w:eastAsia="仿宋_GB2312"/>
          <w:sz w:val="32"/>
          <w:szCs w:val="32"/>
          <w:lang w:val="zh-CN"/>
        </w:rPr>
        <w:t>法律法规及医院相关管理制度规定, 组织本次服务类项目询价。</w:t>
      </w:r>
    </w:p>
    <w:p w14:paraId="4932BF7B">
      <w:pPr>
        <w:pStyle w:val="2"/>
        <w:ind w:left="528" w:hanging="528"/>
        <w:rPr>
          <w:lang w:val="zh-CN"/>
        </w:rPr>
      </w:pPr>
    </w:p>
    <w:p w14:paraId="49CA4A57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6"/>
        <w:tblW w:w="464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2908"/>
        <w:gridCol w:w="1536"/>
        <w:gridCol w:w="2618"/>
      </w:tblGrid>
      <w:tr w14:paraId="5D224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8686AAE"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18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464D43">
            <w:pPr>
              <w:autoSpaceDE w:val="0"/>
              <w:autoSpaceDN w:val="0"/>
              <w:adjustRightInd w:val="0"/>
              <w:snapToGrid w:val="0"/>
              <w:ind w:firstLine="560" w:firstLineChars="20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9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DB5D25"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采购方式</w:t>
            </w:r>
          </w:p>
        </w:tc>
        <w:tc>
          <w:tcPr>
            <w:tcW w:w="16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5B8734">
            <w:pPr>
              <w:autoSpaceDE w:val="0"/>
              <w:autoSpaceDN w:val="0"/>
              <w:adjustRightInd w:val="0"/>
              <w:snapToGrid w:val="0"/>
              <w:ind w:firstLine="560" w:firstLineChars="20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服务要求</w:t>
            </w:r>
          </w:p>
        </w:tc>
      </w:tr>
      <w:tr w14:paraId="44993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59D40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1</w:t>
            </w:r>
          </w:p>
        </w:tc>
        <w:tc>
          <w:tcPr>
            <w:tcW w:w="18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4FCDE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浙江大学医学院附属第一医院浙江省公共卫生临床中心（浙大一院钱塘院区）一期建设项目沉降观测</w:t>
            </w:r>
          </w:p>
        </w:tc>
        <w:tc>
          <w:tcPr>
            <w:tcW w:w="97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10E82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院内询价</w:t>
            </w:r>
          </w:p>
        </w:tc>
        <w:tc>
          <w:tcPr>
            <w:tcW w:w="16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A36CEC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地点：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钱塘区</w:t>
            </w:r>
          </w:p>
          <w:p w14:paraId="411BADC1">
            <w:pPr>
              <w:autoSpaceDE w:val="0"/>
              <w:autoSpaceDN w:val="0"/>
              <w:adjustRightInd w:val="0"/>
              <w:snapToGrid w:val="0"/>
              <w:jc w:val="both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内容：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沉降观测，</w:t>
            </w:r>
            <w:r>
              <w:rPr>
                <w:rFonts w:hint="eastAsia" w:ascii="仿宋_GB2312" w:eastAsia="仿宋_GB2312" w:cs="Times New Roman"/>
                <w:sz w:val="28"/>
                <w:szCs w:val="28"/>
                <w:lang w:val="en-US" w:eastAsia="zh-CN"/>
              </w:rPr>
              <w:t>163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val="en-US" w:eastAsia="zh-CN"/>
              </w:rPr>
              <w:t>个沉降观测点</w:t>
            </w:r>
          </w:p>
        </w:tc>
      </w:tr>
    </w:tbl>
    <w:p w14:paraId="5EB2F343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02D90338">
      <w:pPr>
        <w:numPr>
          <w:ilvl w:val="0"/>
          <w:numId w:val="1"/>
        </w:num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项目概况：</w:t>
      </w:r>
    </w:p>
    <w:p w14:paraId="365ED552">
      <w:pPr>
        <w:pStyle w:val="2"/>
        <w:widowControl w:val="0"/>
        <w:numPr>
          <w:ilvl w:val="0"/>
          <w:numId w:val="0"/>
        </w:numPr>
        <w:spacing w:line="460" w:lineRule="exact"/>
        <w:jc w:val="both"/>
        <w:rPr>
          <w:rFonts w:hint="default"/>
          <w:lang w:val="en-US" w:eastAsia="zh-CN"/>
        </w:rPr>
      </w:pPr>
    </w:p>
    <w:p w14:paraId="7477BC2B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eastAsia="仿宋_GB2312" w:cs="Times New Roman"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8"/>
          <w:szCs w:val="28"/>
          <w:lang w:val="en-US" w:eastAsia="zh-CN"/>
        </w:rPr>
        <w:t xml:space="preserve">项目位于杭州市钱塘区义蓬街道，东至头蓬快速路、南至河景路、西至头蓬直河、北至江东大道，新增建设用地面积 </w:t>
      </w:r>
      <w:r>
        <w:rPr>
          <w:rFonts w:hint="default" w:ascii="仿宋_GB2312" w:hAnsi="Times New Roman" w:eastAsia="仿宋_GB2312" w:cs="Times New Roman"/>
          <w:sz w:val="28"/>
          <w:szCs w:val="28"/>
          <w:lang w:val="en-US" w:eastAsia="zh-CN"/>
        </w:rPr>
        <w:t xml:space="preserve">360 </w:t>
      </w:r>
      <w:r>
        <w:rPr>
          <w:rFonts w:hint="eastAsia" w:ascii="仿宋_GB2312" w:hAnsi="Times New Roman" w:eastAsia="仿宋_GB2312" w:cs="Times New Roman"/>
          <w:sz w:val="28"/>
          <w:szCs w:val="28"/>
          <w:lang w:val="en-US" w:eastAsia="zh-CN"/>
        </w:rPr>
        <w:t xml:space="preserve">亩。项目新建建筑面积 </w:t>
      </w:r>
      <w:r>
        <w:rPr>
          <w:rFonts w:hint="default" w:ascii="仿宋_GB2312" w:hAnsi="Times New Roman" w:eastAsia="仿宋_GB2312" w:cs="Times New Roman"/>
          <w:sz w:val="28"/>
          <w:szCs w:val="28"/>
          <w:lang w:val="en-US" w:eastAsia="zh-CN"/>
        </w:rPr>
        <w:t xml:space="preserve">299990 </w:t>
      </w:r>
      <w:r>
        <w:rPr>
          <w:rFonts w:hint="eastAsia" w:ascii="仿宋_GB2312" w:hAnsi="Times New Roman" w:eastAsia="仿宋_GB2312" w:cs="Times New Roman"/>
          <w:sz w:val="28"/>
          <w:szCs w:val="28"/>
          <w:lang w:val="en-US" w:eastAsia="zh-CN"/>
        </w:rPr>
        <w:t>平方米，其中地上建筑面积</w:t>
      </w:r>
      <w:r>
        <w:rPr>
          <w:rFonts w:hint="default" w:ascii="仿宋_GB2312" w:hAnsi="Times New Roman" w:eastAsia="仿宋_GB2312" w:cs="Times New Roman"/>
          <w:sz w:val="28"/>
          <w:szCs w:val="28"/>
          <w:lang w:val="en-US" w:eastAsia="zh-CN"/>
        </w:rPr>
        <w:t xml:space="preserve">219990 </w:t>
      </w:r>
      <w:r>
        <w:rPr>
          <w:rFonts w:hint="eastAsia" w:ascii="仿宋_GB2312" w:hAnsi="Times New Roman" w:eastAsia="仿宋_GB2312" w:cs="Times New Roman"/>
          <w:sz w:val="28"/>
          <w:szCs w:val="28"/>
          <w:lang w:val="en-US" w:eastAsia="zh-CN"/>
        </w:rPr>
        <w:t>平方米，</w:t>
      </w:r>
      <w:r>
        <w:rPr>
          <w:rFonts w:hint="eastAsia" w:ascii="仿宋_GB2312" w:eastAsia="仿宋_GB2312" w:cs="Times New Roman"/>
          <w:sz w:val="28"/>
          <w:szCs w:val="28"/>
          <w:lang w:val="en-US" w:eastAsia="zh-CN"/>
        </w:rPr>
        <w:t>（详见总平面图），本次设计沉降观测点位163个，结构封顶至竣工验收暂定24个月。各单体沉降点位和层数详下表。</w:t>
      </w:r>
    </w:p>
    <w:tbl>
      <w:tblPr>
        <w:tblStyle w:val="6"/>
        <w:tblW w:w="8363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3"/>
        <w:gridCol w:w="2120"/>
        <w:gridCol w:w="2440"/>
      </w:tblGrid>
      <w:tr w14:paraId="5B614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B1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沉降观测表</w:t>
            </w:r>
          </w:p>
        </w:tc>
      </w:tr>
      <w:tr w14:paraId="7CD92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2A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楼幢号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39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沉降个数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B9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层数</w:t>
            </w:r>
          </w:p>
        </w:tc>
      </w:tr>
      <w:tr w14:paraId="54119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FD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E2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9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1D690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8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74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1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4B80B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A1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3#专科楼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3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F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 w14:paraId="1EC1F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门诊楼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82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52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74639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5F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急诊楼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7D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A8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76909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B6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5#感染楼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C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8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 w14:paraId="6F584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8A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6#行政宿舍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6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C7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00B2A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35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7#科研中心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6E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A1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4F6D6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73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8#动物科研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C4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2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6E323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1B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11#瓶氧站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5A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05BC5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4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9#高压氧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CF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B97E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8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4#应急洗消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6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2C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73A96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23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10#污水处理站</w:t>
            </w:r>
          </w:p>
        </w:tc>
        <w:tc>
          <w:tcPr>
            <w:tcW w:w="2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A8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</w:tbl>
    <w:p w14:paraId="1D455899">
      <w:pPr>
        <w:pStyle w:val="2"/>
        <w:ind w:left="0" w:leftChars="0" w:firstLine="0" w:firstLineChars="0"/>
        <w:rPr>
          <w:rFonts w:hint="default"/>
          <w:lang w:val="en-US"/>
        </w:rPr>
      </w:pPr>
    </w:p>
    <w:p w14:paraId="2FAB4F97">
      <w:pPr>
        <w:autoSpaceDE w:val="0"/>
        <w:autoSpaceDN w:val="0"/>
        <w:adjustRightInd w:val="0"/>
        <w:snapToGrid w:val="0"/>
        <w:spacing w:line="360" w:lineRule="auto"/>
        <w:rPr>
          <w:rFonts w:hint="default" w:ascii="仿宋_GB2312" w:eastAsia="仿宋_GB2312"/>
          <w:sz w:val="28"/>
          <w:szCs w:val="28"/>
          <w:lang w:val="en-US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三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bCs/>
          <w:sz w:val="28"/>
          <w:szCs w:val="28"/>
        </w:rPr>
        <w:t>资格条件要求：</w:t>
      </w:r>
      <w:r>
        <w:rPr>
          <w:rFonts w:hint="eastAsia" w:ascii="仿宋" w:hAnsi="仿宋" w:eastAsia="仿宋" w:cs="仿宋"/>
          <w:color w:val="0000FF"/>
          <w:kern w:val="0"/>
          <w:sz w:val="28"/>
          <w:szCs w:val="28"/>
          <w:highlight w:val="none"/>
          <w:u w:val="single"/>
          <w:lang w:val="en-US" w:eastAsia="zh-CN"/>
        </w:rPr>
        <w:t>主体结构工程现场检测及地基基础工程检测</w:t>
      </w:r>
      <w:r>
        <w:rPr>
          <w:rFonts w:hint="eastAsia" w:ascii="仿宋_GB2312" w:eastAsia="仿宋_GB2312" w:cs="Times New Roman"/>
          <w:color w:val="0000FF"/>
          <w:sz w:val="28"/>
          <w:szCs w:val="28"/>
          <w:lang w:val="en-US" w:eastAsia="zh-CN"/>
        </w:rPr>
        <w:t>。</w:t>
      </w:r>
    </w:p>
    <w:p w14:paraId="43726248">
      <w:pPr>
        <w:autoSpaceDE w:val="0"/>
        <w:autoSpaceDN w:val="0"/>
        <w:adjustRightInd w:val="0"/>
        <w:snapToGrid w:val="0"/>
        <w:spacing w:line="360" w:lineRule="auto"/>
        <w:ind w:firstLine="420" w:firstLineChars="200"/>
        <w:rPr>
          <w:rFonts w:hint="default"/>
          <w:lang w:val="en-US" w:eastAsia="zh-CN"/>
        </w:rPr>
      </w:pPr>
    </w:p>
    <w:p w14:paraId="5D9C8C94">
      <w:pPr>
        <w:autoSpaceDE w:val="0"/>
        <w:autoSpaceDN w:val="0"/>
        <w:adjustRightInd w:val="0"/>
        <w:snapToGrid w:val="0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四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bCs/>
          <w:sz w:val="28"/>
          <w:szCs w:val="28"/>
        </w:rPr>
        <w:t>服务范围及内容：</w:t>
      </w:r>
    </w:p>
    <w:p w14:paraId="019D5A15"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hint="eastAsia" w:ascii="仿宋_GB2312" w:hAnsi="Times New Roman" w:eastAsia="仿宋_GB2312" w:cs="Times New Roman"/>
          <w:b/>
          <w:bCs/>
          <w:sz w:val="28"/>
          <w:szCs w:val="28"/>
          <w:lang w:val="en-US" w:eastAsia="zh-CN"/>
        </w:rPr>
      </w:pPr>
    </w:p>
    <w:p w14:paraId="4343A067"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hint="eastAsia" w:ascii="仿宋_GB2312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sz w:val="28"/>
          <w:szCs w:val="28"/>
          <w:lang w:val="en-US" w:eastAsia="zh-CN"/>
        </w:rPr>
        <w:t>（一）服务范围：</w:t>
      </w:r>
    </w:p>
    <w:p w14:paraId="788C3D19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hint="eastAsia" w:ascii="仿宋_GB2312" w:eastAsia="仿宋_GB2312" w:cs="Times New Roman"/>
          <w:sz w:val="28"/>
          <w:szCs w:val="28"/>
          <w:lang w:val="en-US" w:eastAsia="zh-CN"/>
        </w:rPr>
      </w:pPr>
      <w:r>
        <w:rPr>
          <w:rFonts w:hint="eastAsia" w:ascii="仿宋_GB2312" w:eastAsia="仿宋_GB2312" w:cs="Times New Roman"/>
          <w:sz w:val="28"/>
          <w:szCs w:val="28"/>
          <w:lang w:val="en-US" w:eastAsia="zh-CN"/>
        </w:rPr>
        <w:t>浙江省公共卫生临床中心（浙大一院钱塘院区）一期建设项目沉降观测，共计163个沉降观测点。</w:t>
      </w:r>
    </w:p>
    <w:p w14:paraId="01471027"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（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仿宋_GB2312" w:eastAsia="仿宋_GB2312"/>
          <w:b/>
          <w:bCs/>
          <w:sz w:val="28"/>
          <w:szCs w:val="28"/>
        </w:rPr>
        <w:t>）服务质量要求：</w:t>
      </w:r>
    </w:p>
    <w:p w14:paraId="3486E051">
      <w:pPr>
        <w:spacing w:line="360" w:lineRule="auto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符合国家关于</w:t>
      </w:r>
      <w:r>
        <w:rPr>
          <w:rFonts w:hint="eastAsia" w:ascii="仿宋_GB2312" w:eastAsia="仿宋_GB2312" w:cs="Times New Roman"/>
          <w:sz w:val="28"/>
          <w:szCs w:val="28"/>
          <w:lang w:val="en-US" w:eastAsia="zh-CN"/>
        </w:rPr>
        <w:t>沉降观测</w:t>
      </w:r>
      <w:r>
        <w:rPr>
          <w:rFonts w:hint="eastAsia" w:ascii="仿宋_GB2312" w:eastAsia="仿宋_GB2312"/>
          <w:sz w:val="28"/>
          <w:szCs w:val="28"/>
        </w:rPr>
        <w:t>服务的相关规范、标准和招标文件的要求。</w:t>
      </w:r>
    </w:p>
    <w:p w14:paraId="11D3EA40"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（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仿宋_GB2312" w:eastAsia="仿宋_GB2312"/>
          <w:b/>
          <w:bCs/>
          <w:sz w:val="28"/>
          <w:szCs w:val="28"/>
        </w:rPr>
        <w:t>）服务期</w:t>
      </w:r>
    </w:p>
    <w:p w14:paraId="2EB5011E">
      <w:pPr>
        <w:spacing w:line="360" w:lineRule="auto"/>
        <w:ind w:firstLine="560" w:firstLineChars="200"/>
        <w:rPr>
          <w:lang w:val="zh-CN"/>
        </w:rPr>
      </w:pPr>
      <w:r>
        <w:rPr>
          <w:rFonts w:hint="eastAsia" w:ascii="仿宋_GB2312" w:eastAsia="仿宋_GB2312"/>
          <w:sz w:val="28"/>
          <w:szCs w:val="28"/>
        </w:rPr>
        <w:t>服务</w:t>
      </w:r>
      <w:r>
        <w:rPr>
          <w:rFonts w:hint="eastAsia" w:ascii="仿宋_GB2312" w:eastAsia="仿宋_GB2312"/>
          <w:sz w:val="28"/>
          <w:szCs w:val="28"/>
          <w:lang w:val="zh-CN"/>
        </w:rPr>
        <w:t>期为合同签订后至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工程通过竣工验收。</w:t>
      </w:r>
    </w:p>
    <w:p w14:paraId="458EB7F3"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（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仿宋_GB2312" w:eastAsia="仿宋_GB2312"/>
          <w:b/>
          <w:bCs/>
          <w:sz w:val="28"/>
          <w:szCs w:val="28"/>
        </w:rPr>
        <w:t>）报价要求</w:t>
      </w:r>
    </w:p>
    <w:p w14:paraId="4BDEB1FB">
      <w:pPr>
        <w:widowControl/>
        <w:ind w:firstLine="560" w:firstLineChars="2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1、供应商应根据本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采购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文件和所提供的资料及</w:t>
      </w:r>
      <w:r>
        <w:rPr>
          <w:rFonts w:hint="eastAsia" w:ascii="仿宋_GB2312" w:eastAsia="仿宋_GB2312" w:cs="Times New Roman"/>
          <w:sz w:val="28"/>
          <w:szCs w:val="28"/>
          <w:lang w:val="en-US" w:eastAsia="zh-CN"/>
        </w:rPr>
        <w:t>沉降观测</w:t>
      </w:r>
      <w:r>
        <w:rPr>
          <w:rFonts w:hint="eastAsia" w:ascii="仿宋_GB2312" w:eastAsia="仿宋_GB2312"/>
          <w:sz w:val="28"/>
          <w:szCs w:val="28"/>
        </w:rPr>
        <w:t>服务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范围、内容，结合自身</w:t>
      </w:r>
      <w:r>
        <w:rPr>
          <w:rFonts w:hint="eastAsia" w:ascii="仿宋_GB2312" w:eastAsia="仿宋_GB2312" w:cs="Times New Roman"/>
          <w:sz w:val="28"/>
          <w:szCs w:val="28"/>
          <w:lang w:val="en-US" w:eastAsia="zh-CN"/>
        </w:rPr>
        <w:t>沉降观测</w:t>
      </w:r>
      <w:r>
        <w:rPr>
          <w:rFonts w:hint="eastAsia" w:ascii="仿宋_GB2312" w:eastAsia="仿宋_GB2312"/>
          <w:sz w:val="28"/>
          <w:szCs w:val="28"/>
        </w:rPr>
        <w:t>服务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能力和</w:t>
      </w:r>
      <w:r>
        <w:rPr>
          <w:rFonts w:hint="eastAsia" w:ascii="仿宋_GB2312" w:eastAsia="仿宋_GB2312" w:cs="Times New Roman"/>
          <w:sz w:val="28"/>
          <w:szCs w:val="28"/>
          <w:lang w:val="en-US" w:eastAsia="zh-CN"/>
        </w:rPr>
        <w:t>沉降观测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服务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力量的投入进行竞争报价。</w:t>
      </w:r>
    </w:p>
    <w:p w14:paraId="3D66CEDF">
      <w:pPr>
        <w:widowControl/>
        <w:ind w:firstLine="560" w:firstLineChars="2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2、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供应商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应考虑企业自身实力、经验及项目实施过程中的各种因素，根据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采购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要求，详细说明所能提供的各项具体服务内容，自主确定报价，实行总价包干，合同执行期间实施总价包干，不予调整。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工程施工工期延长、工程建设规模发生变化的，服务费也不予调整。</w:t>
      </w:r>
    </w:p>
    <w:p w14:paraId="35C517CB">
      <w:pPr>
        <w:widowControl/>
        <w:ind w:firstLine="560" w:firstLineChars="2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3、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供应商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的报价应包括为完成本项目服务可能发生的全部费用及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供应商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利润和应交纳的税金等，包括且不限于人工费、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仪器设备费、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现场踏勘、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监测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、测量、计算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等费用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、会务费、餐费、住宿费、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交通及通信费、成果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报告的编制、印刷、进驻现场人员工伤保险费和意外伤害保险费、风险费、保险、利润、规费、税金、政策性文件规定及合同包含的所有风险、责任等所有费用。凡未列入的均将被认为已包含在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总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报价中。</w:t>
      </w:r>
    </w:p>
    <w:p w14:paraId="17CF1C62">
      <w:pPr>
        <w:pStyle w:val="2"/>
      </w:pPr>
    </w:p>
    <w:p w14:paraId="00B0940D">
      <w:pPr>
        <w:autoSpaceDE w:val="0"/>
        <w:autoSpaceDN w:val="0"/>
        <w:adjustRightInd w:val="0"/>
        <w:snapToGrid w:val="0"/>
        <w:spacing w:line="360" w:lineRule="auto"/>
        <w:ind w:firstLine="562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（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_GB2312" w:eastAsia="仿宋_GB2312"/>
          <w:b/>
          <w:bCs/>
          <w:sz w:val="28"/>
          <w:szCs w:val="28"/>
        </w:rPr>
        <w:t>）款项支付：</w:t>
      </w:r>
      <w:r>
        <w:rPr>
          <w:rFonts w:hint="eastAsia" w:ascii="仿宋_GB2312" w:eastAsia="仿宋_GB2312"/>
          <w:sz w:val="28"/>
          <w:szCs w:val="28"/>
        </w:rPr>
        <w:t>（具体以合同签订时约定为准）</w:t>
      </w:r>
    </w:p>
    <w:p w14:paraId="60919285">
      <w:pPr>
        <w:widowControl/>
        <w:ind w:firstLine="560" w:firstLineChars="2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1、合同签订后支付10%；</w:t>
      </w:r>
    </w:p>
    <w:p w14:paraId="7C261968">
      <w:pPr>
        <w:widowControl/>
        <w:ind w:firstLine="560" w:firstLineChars="2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2、主体结构完成支付至合同总价的45%；</w:t>
      </w:r>
    </w:p>
    <w:p w14:paraId="669C584B">
      <w:pPr>
        <w:widowControl/>
        <w:ind w:firstLine="560" w:firstLineChars="2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3、整体工程通过竣工验收支付至合同总价85%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。</w:t>
      </w:r>
    </w:p>
    <w:p w14:paraId="6EC6F0FF">
      <w:pPr>
        <w:widowControl/>
        <w:ind w:firstLine="560" w:firstLineChars="2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4、建筑沉降稳定、全部观测服务完成后支付至合同总价100%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。</w:t>
      </w:r>
    </w:p>
    <w:p w14:paraId="799C3381">
      <w:pPr>
        <w:autoSpaceDE w:val="0"/>
        <w:autoSpaceDN w:val="0"/>
        <w:adjustRightInd w:val="0"/>
        <w:snapToGrid w:val="0"/>
        <w:spacing w:line="360" w:lineRule="auto"/>
        <w:ind w:firstLine="420" w:firstLineChars="200"/>
      </w:pPr>
    </w:p>
    <w:p w14:paraId="4D4B238E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五</w:t>
      </w:r>
      <w:r>
        <w:rPr>
          <w:rFonts w:ascii="仿宋_GB2312" w:eastAsia="仿宋_GB2312"/>
          <w:b/>
          <w:sz w:val="32"/>
          <w:szCs w:val="32"/>
        </w:rPr>
        <w:t>、询价事宜</w:t>
      </w:r>
    </w:p>
    <w:p w14:paraId="4B6A3FC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1、询价时间：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2024</w:t>
      </w:r>
      <w:r>
        <w:rPr>
          <w:rFonts w:hint="eastAsia" w:ascii="仿宋_GB2312" w:eastAsia="仿宋_GB2312"/>
          <w:color w:val="auto"/>
          <w:sz w:val="32"/>
          <w:szCs w:val="32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/>
          <w:color w:val="auto"/>
          <w:sz w:val="32"/>
          <w:szCs w:val="32"/>
        </w:rPr>
        <w:t>日1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</w:rPr>
        <w:t>:00（请于1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</w:rPr>
        <w:t>: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45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提前到场签到）     </w:t>
      </w:r>
    </w:p>
    <w:p w14:paraId="4815A76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2、询价地址：杭州市庆春路79号浙大一院</w:t>
      </w:r>
      <w:r>
        <w:rPr>
          <w:rFonts w:ascii="仿宋_GB2312" w:eastAsia="仿宋_GB2312"/>
          <w:color w:val="auto"/>
          <w:sz w:val="32"/>
          <w:szCs w:val="32"/>
        </w:rPr>
        <w:t>17</w:t>
      </w:r>
      <w:r>
        <w:rPr>
          <w:rFonts w:hint="eastAsia" w:ascii="仿宋_GB2312" w:eastAsia="仿宋_GB2312"/>
          <w:color w:val="auto"/>
          <w:sz w:val="32"/>
          <w:szCs w:val="32"/>
        </w:rPr>
        <w:t>号楼</w:t>
      </w:r>
      <w:r>
        <w:rPr>
          <w:rFonts w:ascii="仿宋_GB2312" w:eastAsia="仿宋_GB2312"/>
          <w:color w:val="auto"/>
          <w:sz w:val="32"/>
          <w:szCs w:val="32"/>
        </w:rPr>
        <w:t>2</w:t>
      </w:r>
      <w:r>
        <w:rPr>
          <w:rFonts w:hint="eastAsia" w:ascii="仿宋_GB2312" w:eastAsia="仿宋_GB2312"/>
          <w:color w:val="auto"/>
          <w:sz w:val="32"/>
          <w:szCs w:val="32"/>
        </w:rPr>
        <w:t>楼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大学路厅</w:t>
      </w:r>
    </w:p>
    <w:p w14:paraId="41BA70B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、询价文件一式两份，</w:t>
      </w:r>
      <w:r>
        <w:rPr>
          <w:rFonts w:hint="eastAsia" w:ascii="仿宋_GB2312" w:eastAsia="仿宋_GB2312"/>
          <w:b/>
          <w:bCs/>
          <w:sz w:val="32"/>
          <w:szCs w:val="32"/>
        </w:rPr>
        <w:t>二次报价函空白单独打印盖章，现场填写</w:t>
      </w:r>
    </w:p>
    <w:p w14:paraId="469E240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13588405639 农老师</w:t>
      </w:r>
      <w:bookmarkStart w:id="0" w:name="_GoBack"/>
      <w:bookmarkEnd w:id="0"/>
    </w:p>
    <w:p w14:paraId="36B9D3C9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4B295B5D"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询价函</w:t>
      </w:r>
    </w:p>
    <w:p w14:paraId="2D29DC7D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488A0849"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全部内容进行响应。总报价合计为人民币（大写）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 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宋体" w:eastAsia="仿宋_GB2312"/>
          <w:sz w:val="32"/>
          <w:szCs w:val="32"/>
        </w:rPr>
        <w:t xml:space="preserve"> 。</w:t>
      </w:r>
    </w:p>
    <w:p w14:paraId="46594358"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法律</w:t>
      </w:r>
      <w:r>
        <w:rPr>
          <w:rFonts w:hint="eastAsia" w:ascii="仿宋_GB2312" w:hAnsi="宋体" w:eastAsia="仿宋_GB2312"/>
          <w:sz w:val="32"/>
          <w:szCs w:val="32"/>
        </w:rPr>
        <w:t>法规及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询价</w:t>
      </w:r>
      <w:r>
        <w:rPr>
          <w:rFonts w:hint="eastAsia" w:ascii="仿宋_GB2312" w:hAnsi="宋体" w:eastAsia="仿宋_GB2312"/>
          <w:sz w:val="32"/>
          <w:szCs w:val="32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，对</w:t>
      </w:r>
      <w:r>
        <w:rPr>
          <w:rFonts w:hint="eastAsia" w:ascii="仿宋_GB2312" w:hAnsi="宋体" w:eastAsia="仿宋_GB2312"/>
          <w:sz w:val="32"/>
          <w:szCs w:val="32"/>
          <w:lang w:val="en-US"/>
        </w:rPr>
        <w:t>定标</w:t>
      </w:r>
      <w:r>
        <w:rPr>
          <w:rFonts w:hint="eastAsia" w:ascii="仿宋_GB2312" w:hAnsi="宋体" w:eastAsia="仿宋_GB2312"/>
          <w:sz w:val="32"/>
          <w:szCs w:val="32"/>
        </w:rPr>
        <w:t>结果也没有解释义务。</w:t>
      </w:r>
    </w:p>
    <w:p w14:paraId="404E179E"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 w14:paraId="6F1467AC"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 w14:paraId="692C71AB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 w14:paraId="7901DF78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 w14:paraId="09E37EB1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 w14:paraId="5ACD1C9B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 w14:paraId="6D797481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 w14:paraId="767DEDE4"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 w14:paraId="079DF3D0">
      <w:pPr>
        <w:jc w:val="center"/>
        <w:rPr>
          <w:sz w:val="28"/>
          <w:szCs w:val="28"/>
        </w:rPr>
      </w:pPr>
    </w:p>
    <w:p w14:paraId="13795CB5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014E31DC"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 w14:paraId="158B11C5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 w14:paraId="0B5C4E81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653"/>
        <w:gridCol w:w="796"/>
        <w:gridCol w:w="1920"/>
        <w:gridCol w:w="1390"/>
        <w:gridCol w:w="1091"/>
        <w:gridCol w:w="1392"/>
      </w:tblGrid>
      <w:tr w14:paraId="4645F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1B09E8BA">
            <w:pPr>
              <w:widowControl/>
              <w:jc w:val="left"/>
              <w:rPr>
                <w:sz w:val="24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br w:type="page"/>
            </w: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65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7F3230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费 用 名 称</w:t>
            </w:r>
          </w:p>
        </w:tc>
        <w:tc>
          <w:tcPr>
            <w:tcW w:w="796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13030E2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920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E2BEBE1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计 算 依 据</w:t>
            </w:r>
          </w:p>
        </w:tc>
        <w:tc>
          <w:tcPr>
            <w:tcW w:w="1390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105AC73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单  价</w:t>
            </w:r>
          </w:p>
          <w:p w14:paraId="5FFAD22C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  <w:tc>
          <w:tcPr>
            <w:tcW w:w="109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3C07BBC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 量</w:t>
            </w: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78E55E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  价</w:t>
            </w:r>
          </w:p>
          <w:p w14:paraId="3F73CE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</w:tr>
      <w:tr w14:paraId="11292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42F75B1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3" w:type="dxa"/>
            <w:tcBorders>
              <w:top w:val="single" w:color="auto" w:sz="12" w:space="0"/>
            </w:tcBorders>
            <w:vAlign w:val="center"/>
          </w:tcPr>
          <w:p w14:paraId="06F2C33F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796" w:type="dxa"/>
            <w:tcBorders>
              <w:top w:val="single" w:color="auto" w:sz="12" w:space="0"/>
            </w:tcBorders>
            <w:vAlign w:val="center"/>
          </w:tcPr>
          <w:p w14:paraId="482D9A5D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920" w:type="dxa"/>
            <w:tcBorders>
              <w:top w:val="single" w:color="auto" w:sz="12" w:space="0"/>
            </w:tcBorders>
            <w:vAlign w:val="center"/>
          </w:tcPr>
          <w:p w14:paraId="29067A80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390" w:type="dxa"/>
            <w:tcBorders>
              <w:top w:val="single" w:color="auto" w:sz="12" w:space="0"/>
            </w:tcBorders>
            <w:vAlign w:val="center"/>
          </w:tcPr>
          <w:p w14:paraId="261548A6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091" w:type="dxa"/>
            <w:tcBorders>
              <w:top w:val="single" w:color="auto" w:sz="12" w:space="0"/>
            </w:tcBorders>
            <w:vAlign w:val="center"/>
          </w:tcPr>
          <w:p w14:paraId="5ED67D1C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392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12F71DC">
            <w:pPr>
              <w:spacing w:line="360" w:lineRule="auto"/>
              <w:jc w:val="left"/>
              <w:rPr>
                <w:sz w:val="24"/>
              </w:rPr>
            </w:pPr>
          </w:p>
        </w:tc>
      </w:tr>
      <w:tr w14:paraId="7DC10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vAlign w:val="center"/>
          </w:tcPr>
          <w:p w14:paraId="42FC1B2A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3" w:type="dxa"/>
            <w:vAlign w:val="center"/>
          </w:tcPr>
          <w:p w14:paraId="44CD7827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796" w:type="dxa"/>
            <w:vAlign w:val="center"/>
          </w:tcPr>
          <w:p w14:paraId="332C95EE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920" w:type="dxa"/>
            <w:vAlign w:val="center"/>
          </w:tcPr>
          <w:p w14:paraId="598973FF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390" w:type="dxa"/>
            <w:vAlign w:val="center"/>
          </w:tcPr>
          <w:p w14:paraId="5A763071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091" w:type="dxa"/>
            <w:vAlign w:val="center"/>
          </w:tcPr>
          <w:p w14:paraId="3769F66D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vAlign w:val="center"/>
          </w:tcPr>
          <w:p w14:paraId="71597F06">
            <w:pPr>
              <w:spacing w:line="360" w:lineRule="auto"/>
              <w:jc w:val="left"/>
              <w:rPr>
                <w:sz w:val="24"/>
              </w:rPr>
            </w:pPr>
          </w:p>
        </w:tc>
      </w:tr>
      <w:tr w14:paraId="30C0F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vAlign w:val="center"/>
          </w:tcPr>
          <w:p w14:paraId="6A9A10A5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653" w:type="dxa"/>
            <w:vAlign w:val="center"/>
          </w:tcPr>
          <w:p w14:paraId="4BFA927C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796" w:type="dxa"/>
            <w:vAlign w:val="center"/>
          </w:tcPr>
          <w:p w14:paraId="36F1B29A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920" w:type="dxa"/>
            <w:vAlign w:val="center"/>
          </w:tcPr>
          <w:p w14:paraId="249363DE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390" w:type="dxa"/>
            <w:vAlign w:val="center"/>
          </w:tcPr>
          <w:p w14:paraId="04CD30FC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091" w:type="dxa"/>
            <w:vAlign w:val="center"/>
          </w:tcPr>
          <w:p w14:paraId="36B10ABF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vAlign w:val="center"/>
          </w:tcPr>
          <w:p w14:paraId="5E2C548D">
            <w:pPr>
              <w:spacing w:line="360" w:lineRule="auto"/>
              <w:jc w:val="left"/>
              <w:rPr>
                <w:sz w:val="24"/>
              </w:rPr>
            </w:pPr>
          </w:p>
        </w:tc>
      </w:tr>
      <w:tr w14:paraId="23E78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vAlign w:val="center"/>
          </w:tcPr>
          <w:p w14:paraId="4651F57E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653" w:type="dxa"/>
            <w:vAlign w:val="center"/>
          </w:tcPr>
          <w:p w14:paraId="06E84F80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796" w:type="dxa"/>
            <w:vAlign w:val="center"/>
          </w:tcPr>
          <w:p w14:paraId="4B3A0B8E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920" w:type="dxa"/>
            <w:vAlign w:val="center"/>
          </w:tcPr>
          <w:p w14:paraId="5B6C29F0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390" w:type="dxa"/>
            <w:vAlign w:val="center"/>
          </w:tcPr>
          <w:p w14:paraId="3BC9AB14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091" w:type="dxa"/>
            <w:vAlign w:val="center"/>
          </w:tcPr>
          <w:p w14:paraId="342D1267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vAlign w:val="center"/>
          </w:tcPr>
          <w:p w14:paraId="641992AD">
            <w:pPr>
              <w:spacing w:line="360" w:lineRule="auto"/>
              <w:jc w:val="left"/>
              <w:rPr>
                <w:sz w:val="24"/>
              </w:rPr>
            </w:pPr>
          </w:p>
        </w:tc>
      </w:tr>
      <w:tr w14:paraId="2159A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vAlign w:val="center"/>
          </w:tcPr>
          <w:p w14:paraId="687D7A6B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653" w:type="dxa"/>
            <w:vAlign w:val="center"/>
          </w:tcPr>
          <w:p w14:paraId="7EA0399B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……</w:t>
            </w:r>
          </w:p>
        </w:tc>
        <w:tc>
          <w:tcPr>
            <w:tcW w:w="796" w:type="dxa"/>
            <w:vAlign w:val="center"/>
          </w:tcPr>
          <w:p w14:paraId="6C9268D5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920" w:type="dxa"/>
            <w:vAlign w:val="center"/>
          </w:tcPr>
          <w:p w14:paraId="5341DFD3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390" w:type="dxa"/>
            <w:vAlign w:val="center"/>
          </w:tcPr>
          <w:p w14:paraId="1D3B0406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091" w:type="dxa"/>
            <w:vAlign w:val="center"/>
          </w:tcPr>
          <w:p w14:paraId="704F866B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vAlign w:val="center"/>
          </w:tcPr>
          <w:p w14:paraId="0D7CBE78">
            <w:pPr>
              <w:spacing w:line="360" w:lineRule="auto"/>
              <w:jc w:val="left"/>
              <w:rPr>
                <w:sz w:val="24"/>
              </w:rPr>
            </w:pPr>
          </w:p>
        </w:tc>
      </w:tr>
      <w:tr w14:paraId="10080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vAlign w:val="center"/>
          </w:tcPr>
          <w:p w14:paraId="5934E45A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653" w:type="dxa"/>
            <w:vAlign w:val="center"/>
          </w:tcPr>
          <w:p w14:paraId="73911918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……</w:t>
            </w:r>
          </w:p>
        </w:tc>
        <w:tc>
          <w:tcPr>
            <w:tcW w:w="796" w:type="dxa"/>
            <w:vAlign w:val="center"/>
          </w:tcPr>
          <w:p w14:paraId="6F0DD546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920" w:type="dxa"/>
            <w:vAlign w:val="center"/>
          </w:tcPr>
          <w:p w14:paraId="75ACB86C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390" w:type="dxa"/>
            <w:vAlign w:val="center"/>
          </w:tcPr>
          <w:p w14:paraId="35F28A9C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091" w:type="dxa"/>
            <w:vAlign w:val="center"/>
          </w:tcPr>
          <w:p w14:paraId="2D992657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vAlign w:val="center"/>
          </w:tcPr>
          <w:p w14:paraId="042714EE">
            <w:pPr>
              <w:spacing w:line="360" w:lineRule="auto"/>
              <w:jc w:val="left"/>
              <w:rPr>
                <w:sz w:val="24"/>
              </w:rPr>
            </w:pPr>
          </w:p>
        </w:tc>
      </w:tr>
      <w:tr w14:paraId="329F6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vAlign w:val="center"/>
          </w:tcPr>
          <w:p w14:paraId="34813629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653" w:type="dxa"/>
            <w:vAlign w:val="center"/>
          </w:tcPr>
          <w:p w14:paraId="24482322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796" w:type="dxa"/>
            <w:vAlign w:val="center"/>
          </w:tcPr>
          <w:p w14:paraId="14B892BA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920" w:type="dxa"/>
            <w:vAlign w:val="center"/>
          </w:tcPr>
          <w:p w14:paraId="4916C173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390" w:type="dxa"/>
            <w:vAlign w:val="center"/>
          </w:tcPr>
          <w:p w14:paraId="15262276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091" w:type="dxa"/>
            <w:vAlign w:val="center"/>
          </w:tcPr>
          <w:p w14:paraId="24F00F04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vAlign w:val="center"/>
          </w:tcPr>
          <w:p w14:paraId="26CA5780">
            <w:pPr>
              <w:spacing w:line="360" w:lineRule="auto"/>
              <w:jc w:val="left"/>
              <w:rPr>
                <w:sz w:val="24"/>
              </w:rPr>
            </w:pPr>
          </w:p>
        </w:tc>
      </w:tr>
      <w:tr w14:paraId="301C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3245" w:type="dxa"/>
            <w:gridSpan w:val="3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2E72818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小计</w:t>
            </w:r>
          </w:p>
        </w:tc>
        <w:tc>
          <w:tcPr>
            <w:tcW w:w="5793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9FF7C12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万元</w:t>
            </w:r>
          </w:p>
        </w:tc>
      </w:tr>
    </w:tbl>
    <w:p w14:paraId="3ED50103">
      <w:pPr>
        <w:spacing w:line="360" w:lineRule="auto"/>
        <w:jc w:val="left"/>
        <w:rPr>
          <w:sz w:val="24"/>
        </w:rPr>
      </w:pPr>
      <w:r>
        <w:rPr>
          <w:rFonts w:hint="eastAsia"/>
          <w:sz w:val="24"/>
        </w:rPr>
        <w:t xml:space="preserve">  供应商（盖章）：            法定代表或授权代表（签字或盖章）：</w:t>
      </w:r>
    </w:p>
    <w:p w14:paraId="305ACE6B">
      <w:pPr>
        <w:widowControl/>
        <w:jc w:val="left"/>
        <w:rPr>
          <w:rFonts w:ascii="仿宋_GB2312" w:eastAsia="仿宋_GB2312"/>
          <w:b/>
          <w:sz w:val="32"/>
          <w:szCs w:val="32"/>
        </w:rPr>
      </w:pPr>
    </w:p>
    <w:p w14:paraId="3D0FF199">
      <w:pPr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br w:type="page"/>
      </w:r>
    </w:p>
    <w:p w14:paraId="5861133F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 w14:paraId="6F993DB7"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 w14:paraId="59AA88EF"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5C872AD8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项目的询价响应活动，并代表我方全权办理针对上述项目的响应、开标、评标、二次报价、签约等具体事务和签署相关文件。</w:t>
      </w:r>
    </w:p>
    <w:p w14:paraId="4A1BB86A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 w14:paraId="0D0581E0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39BAEA6D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 w14:paraId="5678A2A6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 w14:paraId="732FD2EE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 w14:paraId="10DAF2F2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 w14:paraId="2243D3C5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 w14:paraId="0C1065F7"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 w14:paraId="18D01EC3"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 w14:paraId="5FB2C3E8"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5E36394E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附件4：</w:t>
      </w:r>
    </w:p>
    <w:p w14:paraId="3A05CD15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452F421F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 w14:paraId="127E7E25">
      <w:pPr>
        <w:pStyle w:val="2"/>
        <w:ind w:left="528" w:hanging="528"/>
      </w:pPr>
    </w:p>
    <w:p w14:paraId="7C1A379D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603E780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3A29146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 w14:paraId="62AF2D9E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14:paraId="4BA50AA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 w14:paraId="6859535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63F502F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716296D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50D3D66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5FFB4A1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589597CD">
      <w:pPr>
        <w:autoSpaceDE w:val="0"/>
        <w:autoSpaceDN w:val="0"/>
        <w:adjustRightInd w:val="0"/>
        <w:snapToGrid w:val="0"/>
        <w:spacing w:line="360" w:lineRule="auto"/>
        <w:ind w:left="3194" w:leftChars="1216" w:hanging="640" w:hanging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浙江大学医学院附属第一医院浙江省公共卫生临床中心（浙大一院钱塘院区）一期建设项目沉降观测</w:t>
      </w:r>
    </w:p>
    <w:p w14:paraId="7D7E1ADB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 w14:paraId="5957B0A9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 w14:paraId="657FDA16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 w14:paraId="5680023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 w14:paraId="43FEF16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 w14:paraId="16043105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 w14:paraId="4AF00AC6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138E4FF4">
      <w:pPr>
        <w:rPr>
          <w:rFonts w:ascii="仿宋_GB2312" w:eastAsia="仿宋_GB2312"/>
          <w:b/>
          <w:sz w:val="32"/>
          <w:szCs w:val="32"/>
        </w:rPr>
      </w:pPr>
    </w:p>
    <w:p w14:paraId="6938B570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 w14:paraId="0757E37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 w14:paraId="5B2E29E3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 w14:paraId="5E87780D"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p w14:paraId="6EB1352B"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60BC65CE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430B488A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37299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543A2">
    <w:pPr>
      <w:pStyle w:val="5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B51BB">
    <w:pPr>
      <w:pStyle w:val="5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8E03CA"/>
    <w:multiLevelType w:val="singleLevel"/>
    <w:tmpl w:val="468E03C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TY4YmNiMTFkNDkzZjlkOGNkNjc4YjNhOGFjMzA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2EFD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2678"/>
    <w:rsid w:val="0013476F"/>
    <w:rsid w:val="00134DC4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32E0"/>
    <w:rsid w:val="001D513D"/>
    <w:rsid w:val="001D5304"/>
    <w:rsid w:val="001D5C90"/>
    <w:rsid w:val="001E08B4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0F14"/>
    <w:rsid w:val="002614CF"/>
    <w:rsid w:val="002615A3"/>
    <w:rsid w:val="0026377E"/>
    <w:rsid w:val="00263F46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1EB3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333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6238"/>
    <w:rsid w:val="004F711A"/>
    <w:rsid w:val="004F7368"/>
    <w:rsid w:val="004F7A13"/>
    <w:rsid w:val="004F7B15"/>
    <w:rsid w:val="004F7CAB"/>
    <w:rsid w:val="00502555"/>
    <w:rsid w:val="00502F85"/>
    <w:rsid w:val="00511354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4DC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0AC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668D"/>
    <w:rsid w:val="00687F8E"/>
    <w:rsid w:val="0069298A"/>
    <w:rsid w:val="00693726"/>
    <w:rsid w:val="006939EF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1BF1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D8A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3382"/>
    <w:rsid w:val="008C5BBE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240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6A1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67F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3814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1AE0DE9"/>
    <w:rsid w:val="0739271F"/>
    <w:rsid w:val="089D616C"/>
    <w:rsid w:val="094931B5"/>
    <w:rsid w:val="0D3A1F53"/>
    <w:rsid w:val="168F1DC9"/>
    <w:rsid w:val="19F85470"/>
    <w:rsid w:val="19FE5F86"/>
    <w:rsid w:val="1F777407"/>
    <w:rsid w:val="22A26DD5"/>
    <w:rsid w:val="2883219E"/>
    <w:rsid w:val="28B61F81"/>
    <w:rsid w:val="30C25F09"/>
    <w:rsid w:val="30FB3BB9"/>
    <w:rsid w:val="390A7522"/>
    <w:rsid w:val="3DB63E8D"/>
    <w:rsid w:val="3E44552C"/>
    <w:rsid w:val="3F3065DA"/>
    <w:rsid w:val="418D1221"/>
    <w:rsid w:val="42CA31A3"/>
    <w:rsid w:val="43390F7C"/>
    <w:rsid w:val="4700242D"/>
    <w:rsid w:val="4C1861F7"/>
    <w:rsid w:val="4DE33977"/>
    <w:rsid w:val="50626680"/>
    <w:rsid w:val="529A0378"/>
    <w:rsid w:val="53764934"/>
    <w:rsid w:val="59DB0274"/>
    <w:rsid w:val="67D90EF1"/>
    <w:rsid w:val="68E51EE8"/>
    <w:rsid w:val="694C30C1"/>
    <w:rsid w:val="6BCF71ED"/>
    <w:rsid w:val="6C6D085E"/>
    <w:rsid w:val="6D853616"/>
    <w:rsid w:val="6EC152DE"/>
    <w:rsid w:val="6F052773"/>
    <w:rsid w:val="6F0F2046"/>
    <w:rsid w:val="72FE2D27"/>
    <w:rsid w:val="7E2316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autoRedefine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2"/>
    <w:autoRedefine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8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3">
    <w:name w:val="正文_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1869</Words>
  <Characters>2003</Characters>
  <Lines>23</Lines>
  <Paragraphs>6</Paragraphs>
  <TotalTime>6</TotalTime>
  <ScaleCrop>false</ScaleCrop>
  <LinksUpToDate>false</LinksUpToDate>
  <CharactersWithSpaces>2315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2022-06-28T09:47:00Z</dcterms:created>
  <dc:creator>陈希琳</dc:creator>
  <cp:lastModifiedBy>王怡</cp:lastModifiedBy>
  <cp:lastPrinted>2020-09-01T07:08:00Z</cp:lastPrinted>
  <dcterms:modified xsi:type="dcterms:W3CDTF">2024-08-13T10:09:56Z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50B476A1ED7A4C9BBA8EA610D0B9CCB7_13</vt:lpwstr>
  </property>
</Properties>
</file>