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DE673">
      <w:pPr>
        <w:autoSpaceDE w:val="0"/>
        <w:autoSpaceDN w:val="0"/>
        <w:adjustRightInd w:val="0"/>
        <w:snapToGrid w:val="0"/>
        <w:rPr>
          <w:rFonts w:ascii="宋体"/>
          <w:b/>
          <w:sz w:val="56"/>
          <w:szCs w:val="56"/>
          <w:lang w:val="zh-CN"/>
        </w:rPr>
      </w:pPr>
    </w:p>
    <w:p w14:paraId="03BE89F9">
      <w:pPr>
        <w:autoSpaceDE w:val="0"/>
        <w:autoSpaceDN w:val="0"/>
        <w:adjustRightInd w:val="0"/>
        <w:snapToGrid w:val="0"/>
        <w:jc w:val="center"/>
        <w:rPr>
          <w:rFonts w:ascii="宋体"/>
          <w:b/>
          <w:sz w:val="56"/>
          <w:szCs w:val="56"/>
          <w:lang w:val="zh-CN"/>
        </w:rPr>
      </w:pPr>
    </w:p>
    <w:p w14:paraId="2D8EA81E">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2F403FA8">
      <w:pPr>
        <w:autoSpaceDE w:val="0"/>
        <w:autoSpaceDN w:val="0"/>
        <w:adjustRightInd w:val="0"/>
        <w:snapToGrid w:val="0"/>
        <w:jc w:val="center"/>
        <w:rPr>
          <w:rFonts w:ascii="宋体"/>
          <w:sz w:val="56"/>
          <w:szCs w:val="56"/>
          <w:lang w:val="zh-CN"/>
        </w:rPr>
      </w:pPr>
    </w:p>
    <w:p w14:paraId="115601DE">
      <w:pPr>
        <w:autoSpaceDE w:val="0"/>
        <w:autoSpaceDN w:val="0"/>
        <w:adjustRightInd w:val="0"/>
        <w:snapToGrid w:val="0"/>
        <w:jc w:val="center"/>
        <w:rPr>
          <w:rFonts w:ascii="宋体"/>
          <w:sz w:val="56"/>
          <w:szCs w:val="56"/>
          <w:lang w:val="zh-CN"/>
        </w:rPr>
      </w:pPr>
    </w:p>
    <w:p w14:paraId="56732557">
      <w:pPr>
        <w:autoSpaceDE w:val="0"/>
        <w:autoSpaceDN w:val="0"/>
        <w:adjustRightInd w:val="0"/>
        <w:snapToGrid w:val="0"/>
        <w:jc w:val="center"/>
        <w:rPr>
          <w:rFonts w:ascii="宋体"/>
          <w:sz w:val="56"/>
          <w:szCs w:val="56"/>
          <w:lang w:val="zh-CN"/>
        </w:rPr>
      </w:pPr>
    </w:p>
    <w:p w14:paraId="5D9F9DA6">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询价函</w:t>
      </w:r>
    </w:p>
    <w:p w14:paraId="7D3A6433">
      <w:pPr>
        <w:autoSpaceDE w:val="0"/>
        <w:autoSpaceDN w:val="0"/>
        <w:adjustRightInd w:val="0"/>
        <w:snapToGrid w:val="0"/>
        <w:jc w:val="center"/>
        <w:rPr>
          <w:sz w:val="56"/>
          <w:szCs w:val="56"/>
          <w:lang w:val="zh-CN"/>
        </w:rPr>
      </w:pPr>
    </w:p>
    <w:p w14:paraId="76AC3F6E">
      <w:pPr>
        <w:autoSpaceDE w:val="0"/>
        <w:autoSpaceDN w:val="0"/>
        <w:adjustRightInd w:val="0"/>
        <w:snapToGrid w:val="0"/>
        <w:jc w:val="center"/>
        <w:rPr>
          <w:sz w:val="56"/>
          <w:szCs w:val="56"/>
          <w:lang w:val="zh-CN"/>
        </w:rPr>
      </w:pPr>
    </w:p>
    <w:p w14:paraId="5C63B3F3">
      <w:pPr>
        <w:autoSpaceDE w:val="0"/>
        <w:autoSpaceDN w:val="0"/>
        <w:adjustRightInd w:val="0"/>
        <w:snapToGrid w:val="0"/>
        <w:jc w:val="center"/>
        <w:rPr>
          <w:sz w:val="56"/>
          <w:szCs w:val="56"/>
          <w:lang w:val="zh-CN"/>
        </w:rPr>
      </w:pPr>
    </w:p>
    <w:p w14:paraId="0D7B0A75">
      <w:pPr>
        <w:autoSpaceDE w:val="0"/>
        <w:autoSpaceDN w:val="0"/>
        <w:adjustRightInd w:val="0"/>
        <w:snapToGrid w:val="0"/>
        <w:jc w:val="center"/>
        <w:rPr>
          <w:sz w:val="56"/>
          <w:szCs w:val="56"/>
          <w:lang w:val="zh-CN"/>
        </w:rPr>
      </w:pPr>
    </w:p>
    <w:p w14:paraId="727FCA92">
      <w:pPr>
        <w:autoSpaceDE w:val="0"/>
        <w:autoSpaceDN w:val="0"/>
        <w:adjustRightInd w:val="0"/>
        <w:snapToGrid w:val="0"/>
        <w:jc w:val="center"/>
        <w:rPr>
          <w:sz w:val="56"/>
          <w:szCs w:val="56"/>
          <w:lang w:val="zh-CN"/>
        </w:rPr>
      </w:pPr>
    </w:p>
    <w:p w14:paraId="0EFB47E4">
      <w:pPr>
        <w:autoSpaceDE w:val="0"/>
        <w:autoSpaceDN w:val="0"/>
        <w:adjustRightInd w:val="0"/>
        <w:snapToGrid w:val="0"/>
        <w:jc w:val="center"/>
        <w:rPr>
          <w:sz w:val="56"/>
          <w:szCs w:val="56"/>
          <w:lang w:val="zh-CN"/>
        </w:rPr>
      </w:pPr>
    </w:p>
    <w:p w14:paraId="05F38BE4">
      <w:pPr>
        <w:autoSpaceDE w:val="0"/>
        <w:autoSpaceDN w:val="0"/>
        <w:adjustRightInd w:val="0"/>
        <w:snapToGrid w:val="0"/>
        <w:jc w:val="center"/>
        <w:rPr>
          <w:sz w:val="56"/>
          <w:szCs w:val="56"/>
          <w:lang w:val="zh-CN"/>
        </w:rPr>
      </w:pPr>
    </w:p>
    <w:p w14:paraId="5A20047A">
      <w:pPr>
        <w:autoSpaceDE w:val="0"/>
        <w:autoSpaceDN w:val="0"/>
        <w:adjustRightInd w:val="0"/>
        <w:snapToGrid w:val="0"/>
        <w:jc w:val="center"/>
        <w:rPr>
          <w:sz w:val="56"/>
          <w:szCs w:val="56"/>
          <w:lang w:val="zh-CN"/>
        </w:rPr>
      </w:pPr>
    </w:p>
    <w:p w14:paraId="509B7CD1">
      <w:pPr>
        <w:autoSpaceDE w:val="0"/>
        <w:autoSpaceDN w:val="0"/>
        <w:adjustRightInd w:val="0"/>
        <w:snapToGrid w:val="0"/>
        <w:spacing w:line="360" w:lineRule="auto"/>
        <w:jc w:val="center"/>
        <w:rPr>
          <w:rFonts w:hint="eastAsia" w:ascii="宋体"/>
          <w:sz w:val="40"/>
          <w:szCs w:val="56"/>
          <w:lang w:val="zh-CN"/>
        </w:rPr>
      </w:pPr>
      <w:r>
        <w:rPr>
          <w:rFonts w:hint="eastAsia" w:ascii="宋体"/>
          <w:sz w:val="40"/>
          <w:szCs w:val="56"/>
          <w:lang w:val="zh-CN"/>
        </w:rPr>
        <w:t>项目名称：浙江省公共卫生临床中心</w:t>
      </w:r>
    </w:p>
    <w:p w14:paraId="26617E99">
      <w:pPr>
        <w:autoSpaceDE w:val="0"/>
        <w:autoSpaceDN w:val="0"/>
        <w:adjustRightInd w:val="0"/>
        <w:snapToGrid w:val="0"/>
        <w:spacing w:line="360" w:lineRule="auto"/>
        <w:jc w:val="center"/>
        <w:rPr>
          <w:rFonts w:ascii="宋体"/>
          <w:sz w:val="40"/>
          <w:szCs w:val="56"/>
          <w:lang w:val="zh-CN"/>
        </w:rPr>
      </w:pPr>
      <w:r>
        <w:rPr>
          <w:rFonts w:hint="eastAsia" w:ascii="宋体"/>
          <w:sz w:val="40"/>
          <w:szCs w:val="56"/>
          <w:lang w:val="zh-CN"/>
        </w:rPr>
        <w:t>（浙江大学医学院附属第一医院钱塘院区）二期建设工程交通影响评价</w:t>
      </w:r>
    </w:p>
    <w:p w14:paraId="3884E152">
      <w:pPr>
        <w:autoSpaceDE w:val="0"/>
        <w:autoSpaceDN w:val="0"/>
        <w:adjustRightInd w:val="0"/>
        <w:snapToGrid w:val="0"/>
        <w:spacing w:line="360" w:lineRule="auto"/>
        <w:jc w:val="center"/>
        <w:rPr>
          <w:rFonts w:ascii="宋体"/>
          <w:sz w:val="40"/>
          <w:szCs w:val="56"/>
          <w:lang w:val="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50D59C69">
      <w:pPr>
        <w:autoSpaceDE w:val="0"/>
        <w:autoSpaceDN w:val="0"/>
        <w:adjustRightInd w:val="0"/>
        <w:snapToGrid w:val="0"/>
        <w:spacing w:afterLines="50"/>
        <w:jc w:val="center"/>
        <w:rPr>
          <w:rFonts w:ascii="宋体"/>
          <w:b/>
          <w:sz w:val="44"/>
          <w:szCs w:val="56"/>
          <w:lang w:val="zh-CN"/>
        </w:rPr>
      </w:pPr>
      <w:r>
        <w:rPr>
          <w:rFonts w:hint="eastAsia" w:ascii="宋体"/>
          <w:b/>
          <w:sz w:val="44"/>
          <w:szCs w:val="56"/>
          <w:lang w:val="zh-CN"/>
        </w:rPr>
        <w:t>询价函</w:t>
      </w:r>
    </w:p>
    <w:p w14:paraId="14700892">
      <w:pPr>
        <w:autoSpaceDE w:val="0"/>
        <w:autoSpaceDN w:val="0"/>
        <w:adjustRightInd w:val="0"/>
        <w:snapToGrid w:val="0"/>
        <w:ind w:firstLine="640" w:firstLineChars="200"/>
        <w:rPr>
          <w:rFonts w:ascii="仿宋_GB2312" w:eastAsia="仿宋_GB2312"/>
          <w:sz w:val="32"/>
          <w:szCs w:val="32"/>
          <w:lang w:val="zh-CN"/>
        </w:rPr>
      </w:pPr>
    </w:p>
    <w:p w14:paraId="34D8C96E">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组织本次服务类项目询价。</w:t>
      </w:r>
    </w:p>
    <w:p w14:paraId="05A9190D">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7"/>
        <w:tblW w:w="4981" w:type="pct"/>
        <w:tblInd w:w="30" w:type="dxa"/>
        <w:tblLayout w:type="autofit"/>
        <w:tblCellMar>
          <w:top w:w="0" w:type="dxa"/>
          <w:left w:w="108" w:type="dxa"/>
          <w:bottom w:w="0" w:type="dxa"/>
          <w:right w:w="108" w:type="dxa"/>
        </w:tblCellMar>
      </w:tblPr>
      <w:tblGrid>
        <w:gridCol w:w="776"/>
        <w:gridCol w:w="1899"/>
        <w:gridCol w:w="1452"/>
        <w:gridCol w:w="2891"/>
        <w:gridCol w:w="1472"/>
      </w:tblGrid>
      <w:tr w14:paraId="01234F05">
        <w:tblPrEx>
          <w:tblCellMar>
            <w:top w:w="0" w:type="dxa"/>
            <w:left w:w="108" w:type="dxa"/>
            <w:bottom w:w="0" w:type="dxa"/>
            <w:right w:w="108" w:type="dxa"/>
          </w:tblCellMar>
        </w:tblPrEx>
        <w:trPr>
          <w:trHeight w:val="465" w:hRule="atLeast"/>
        </w:trPr>
        <w:tc>
          <w:tcPr>
            <w:tcW w:w="45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B0CC18">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序号</w:t>
            </w:r>
          </w:p>
        </w:tc>
        <w:tc>
          <w:tcPr>
            <w:tcW w:w="1118" w:type="pct"/>
            <w:tcBorders>
              <w:top w:val="single" w:color="auto" w:sz="4" w:space="0"/>
              <w:left w:val="nil"/>
              <w:bottom w:val="single" w:color="auto" w:sz="4" w:space="0"/>
              <w:right w:val="single" w:color="auto" w:sz="4" w:space="0"/>
            </w:tcBorders>
            <w:shd w:val="clear" w:color="000000" w:fill="FFFFFF"/>
            <w:vAlign w:val="center"/>
          </w:tcPr>
          <w:p w14:paraId="4407CEF8">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项目名称</w:t>
            </w:r>
          </w:p>
        </w:tc>
        <w:tc>
          <w:tcPr>
            <w:tcW w:w="855" w:type="pct"/>
            <w:tcBorders>
              <w:top w:val="single" w:color="auto" w:sz="4" w:space="0"/>
              <w:left w:val="nil"/>
              <w:bottom w:val="single" w:color="auto" w:sz="4" w:space="0"/>
              <w:right w:val="single" w:color="auto" w:sz="4" w:space="0"/>
            </w:tcBorders>
            <w:shd w:val="clear" w:color="000000" w:fill="FFFFFF"/>
            <w:vAlign w:val="center"/>
          </w:tcPr>
          <w:p w14:paraId="31BBC2F6">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采购方式</w:t>
            </w:r>
          </w:p>
        </w:tc>
        <w:tc>
          <w:tcPr>
            <w:tcW w:w="1702" w:type="pct"/>
            <w:tcBorders>
              <w:top w:val="single" w:color="auto" w:sz="4" w:space="0"/>
              <w:left w:val="nil"/>
              <w:bottom w:val="single" w:color="auto" w:sz="4" w:space="0"/>
              <w:right w:val="single" w:color="auto" w:sz="4" w:space="0"/>
            </w:tcBorders>
            <w:shd w:val="clear" w:color="000000" w:fill="FFFFFF"/>
            <w:vAlign w:val="center"/>
          </w:tcPr>
          <w:p w14:paraId="57A4CAD3">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服务要求</w:t>
            </w:r>
          </w:p>
        </w:tc>
        <w:tc>
          <w:tcPr>
            <w:tcW w:w="866" w:type="pct"/>
            <w:tcBorders>
              <w:top w:val="single" w:color="auto" w:sz="4" w:space="0"/>
              <w:left w:val="nil"/>
              <w:bottom w:val="single" w:color="auto" w:sz="4" w:space="0"/>
              <w:right w:val="single" w:color="auto" w:sz="4" w:space="0"/>
            </w:tcBorders>
            <w:shd w:val="clear" w:color="000000" w:fill="FFFFFF"/>
            <w:vAlign w:val="center"/>
          </w:tcPr>
          <w:p w14:paraId="0571F4F7">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最高限价（万元）</w:t>
            </w:r>
          </w:p>
        </w:tc>
      </w:tr>
      <w:tr w14:paraId="44D9E7F4">
        <w:tblPrEx>
          <w:tblCellMar>
            <w:top w:w="0" w:type="dxa"/>
            <w:left w:w="108" w:type="dxa"/>
            <w:bottom w:w="0" w:type="dxa"/>
            <w:right w:w="108" w:type="dxa"/>
          </w:tblCellMar>
        </w:tblPrEx>
        <w:trPr>
          <w:trHeight w:val="235" w:hRule="atLeast"/>
        </w:trPr>
        <w:tc>
          <w:tcPr>
            <w:tcW w:w="457" w:type="pct"/>
            <w:vMerge w:val="restart"/>
            <w:tcBorders>
              <w:top w:val="single" w:color="auto" w:sz="8" w:space="0"/>
              <w:left w:val="single" w:color="auto" w:sz="8" w:space="0"/>
              <w:right w:val="single" w:color="auto" w:sz="4" w:space="0"/>
            </w:tcBorders>
            <w:shd w:val="clear" w:color="000000" w:fill="FFFFFF"/>
            <w:noWrap/>
            <w:vAlign w:val="center"/>
          </w:tcPr>
          <w:p w14:paraId="402DC942">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1</w:t>
            </w:r>
          </w:p>
        </w:tc>
        <w:tc>
          <w:tcPr>
            <w:tcW w:w="1118" w:type="pct"/>
            <w:vMerge w:val="restart"/>
            <w:tcBorders>
              <w:top w:val="nil"/>
              <w:left w:val="nil"/>
              <w:right w:val="single" w:color="auto" w:sz="4" w:space="0"/>
            </w:tcBorders>
            <w:shd w:val="clear" w:color="000000" w:fill="FFFFFF"/>
            <w:vAlign w:val="center"/>
          </w:tcPr>
          <w:p w14:paraId="17386E2C">
            <w:pPr>
              <w:autoSpaceDE w:val="0"/>
              <w:autoSpaceDN w:val="0"/>
              <w:adjustRightInd w:val="0"/>
              <w:snapToGrid w:val="0"/>
              <w:jc w:val="center"/>
              <w:rPr>
                <w:rFonts w:hint="eastAsia" w:ascii="仿宋_GB2312" w:eastAsia="仿宋_GB2312"/>
                <w:sz w:val="28"/>
                <w:szCs w:val="28"/>
              </w:rPr>
            </w:pPr>
            <w:r>
              <w:rPr>
                <w:rFonts w:hint="eastAsia" w:ascii="仿宋_GB2312" w:eastAsia="仿宋_GB2312"/>
                <w:sz w:val="28"/>
                <w:szCs w:val="28"/>
              </w:rPr>
              <w:t>浙江省公共卫生临床中心</w:t>
            </w:r>
          </w:p>
          <w:p w14:paraId="0B22360C">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（浙江大学医学院附属第一医院钱塘院区）二期建设工程交通影响评价</w:t>
            </w:r>
          </w:p>
        </w:tc>
        <w:tc>
          <w:tcPr>
            <w:tcW w:w="855" w:type="pct"/>
            <w:vMerge w:val="restart"/>
            <w:tcBorders>
              <w:top w:val="nil"/>
              <w:left w:val="nil"/>
              <w:right w:val="single" w:color="auto" w:sz="4" w:space="0"/>
            </w:tcBorders>
            <w:shd w:val="clear" w:color="000000" w:fill="FFFFFF"/>
            <w:vAlign w:val="center"/>
          </w:tcPr>
          <w:p w14:paraId="7E763A89">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院内询价</w:t>
            </w:r>
          </w:p>
        </w:tc>
        <w:tc>
          <w:tcPr>
            <w:tcW w:w="1702" w:type="pct"/>
            <w:tcBorders>
              <w:top w:val="nil"/>
              <w:left w:val="nil"/>
              <w:bottom w:val="nil"/>
              <w:right w:val="single" w:color="auto" w:sz="4" w:space="0"/>
            </w:tcBorders>
            <w:shd w:val="clear" w:color="000000" w:fill="FFFFFF"/>
            <w:vAlign w:val="center"/>
          </w:tcPr>
          <w:p w14:paraId="1B267C51">
            <w:pPr>
              <w:autoSpaceDE w:val="0"/>
              <w:autoSpaceDN w:val="0"/>
              <w:adjustRightInd w:val="0"/>
              <w:snapToGrid w:val="0"/>
              <w:rPr>
                <w:rFonts w:ascii="仿宋_GB2312" w:eastAsia="仿宋_GB2312"/>
                <w:sz w:val="28"/>
                <w:szCs w:val="28"/>
              </w:rPr>
            </w:pPr>
          </w:p>
        </w:tc>
        <w:tc>
          <w:tcPr>
            <w:tcW w:w="866" w:type="pct"/>
            <w:vMerge w:val="restart"/>
            <w:tcBorders>
              <w:top w:val="nil"/>
              <w:left w:val="nil"/>
              <w:right w:val="single" w:color="auto" w:sz="4" w:space="0"/>
            </w:tcBorders>
            <w:shd w:val="clear" w:color="000000" w:fill="FFFFFF"/>
            <w:vAlign w:val="center"/>
          </w:tcPr>
          <w:p w14:paraId="23A36D09">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highlight w:val="none"/>
                <w:lang w:val="en-US" w:eastAsia="zh-CN"/>
              </w:rPr>
              <w:t>5</w:t>
            </w:r>
          </w:p>
        </w:tc>
      </w:tr>
      <w:tr w14:paraId="3CDABFDE">
        <w:tblPrEx>
          <w:tblCellMar>
            <w:top w:w="0" w:type="dxa"/>
            <w:left w:w="108" w:type="dxa"/>
            <w:bottom w:w="0" w:type="dxa"/>
            <w:right w:w="108" w:type="dxa"/>
          </w:tblCellMar>
        </w:tblPrEx>
        <w:trPr>
          <w:trHeight w:val="235" w:hRule="atLeast"/>
        </w:trPr>
        <w:tc>
          <w:tcPr>
            <w:tcW w:w="457" w:type="pct"/>
            <w:vMerge w:val="continue"/>
            <w:tcBorders>
              <w:left w:val="single" w:color="auto" w:sz="8" w:space="0"/>
              <w:right w:val="single" w:color="auto" w:sz="4" w:space="0"/>
            </w:tcBorders>
            <w:shd w:val="clear" w:color="000000" w:fill="FFFFFF"/>
            <w:noWrap/>
            <w:vAlign w:val="center"/>
          </w:tcPr>
          <w:p w14:paraId="49AF5014">
            <w:pPr>
              <w:autoSpaceDE w:val="0"/>
              <w:autoSpaceDN w:val="0"/>
              <w:adjustRightInd w:val="0"/>
              <w:snapToGrid w:val="0"/>
              <w:jc w:val="center"/>
              <w:rPr>
                <w:rFonts w:ascii="仿宋_GB2312" w:eastAsia="仿宋_GB2312"/>
                <w:sz w:val="28"/>
                <w:szCs w:val="28"/>
              </w:rPr>
            </w:pPr>
          </w:p>
        </w:tc>
        <w:tc>
          <w:tcPr>
            <w:tcW w:w="1118" w:type="pct"/>
            <w:vMerge w:val="continue"/>
            <w:tcBorders>
              <w:left w:val="nil"/>
              <w:right w:val="single" w:color="auto" w:sz="4" w:space="0"/>
            </w:tcBorders>
            <w:shd w:val="clear" w:color="000000" w:fill="FFFFFF"/>
            <w:vAlign w:val="center"/>
          </w:tcPr>
          <w:p w14:paraId="26130315">
            <w:pPr>
              <w:autoSpaceDE w:val="0"/>
              <w:autoSpaceDN w:val="0"/>
              <w:adjustRightInd w:val="0"/>
              <w:snapToGrid w:val="0"/>
              <w:jc w:val="center"/>
              <w:rPr>
                <w:rFonts w:ascii="仿宋_GB2312" w:eastAsia="仿宋_GB2312"/>
                <w:sz w:val="28"/>
                <w:szCs w:val="28"/>
              </w:rPr>
            </w:pPr>
          </w:p>
        </w:tc>
        <w:tc>
          <w:tcPr>
            <w:tcW w:w="855" w:type="pct"/>
            <w:vMerge w:val="continue"/>
            <w:tcBorders>
              <w:left w:val="nil"/>
              <w:right w:val="single" w:color="auto" w:sz="4" w:space="0"/>
            </w:tcBorders>
            <w:shd w:val="clear" w:color="000000" w:fill="FFFFFF"/>
            <w:vAlign w:val="center"/>
          </w:tcPr>
          <w:p w14:paraId="07B46080">
            <w:pPr>
              <w:autoSpaceDE w:val="0"/>
              <w:autoSpaceDN w:val="0"/>
              <w:adjustRightInd w:val="0"/>
              <w:snapToGrid w:val="0"/>
              <w:jc w:val="center"/>
              <w:rPr>
                <w:rFonts w:ascii="仿宋_GB2312" w:eastAsia="仿宋_GB2312"/>
                <w:sz w:val="28"/>
                <w:szCs w:val="28"/>
              </w:rPr>
            </w:pPr>
          </w:p>
        </w:tc>
        <w:tc>
          <w:tcPr>
            <w:tcW w:w="1702" w:type="pct"/>
            <w:tcBorders>
              <w:top w:val="nil"/>
              <w:left w:val="nil"/>
              <w:bottom w:val="nil"/>
              <w:right w:val="single" w:color="auto" w:sz="4" w:space="0"/>
            </w:tcBorders>
            <w:shd w:val="clear" w:color="000000" w:fill="FFFFFF"/>
            <w:vAlign w:val="center"/>
          </w:tcPr>
          <w:p w14:paraId="53E2312B">
            <w:pPr>
              <w:autoSpaceDE w:val="0"/>
              <w:autoSpaceDN w:val="0"/>
              <w:adjustRightInd w:val="0"/>
              <w:snapToGrid w:val="0"/>
              <w:rPr>
                <w:rFonts w:ascii="仿宋_GB2312" w:eastAsia="仿宋_GB2312"/>
                <w:sz w:val="28"/>
                <w:szCs w:val="28"/>
              </w:rPr>
            </w:pPr>
            <w:r>
              <w:rPr>
                <w:rFonts w:hint="eastAsia" w:ascii="仿宋_GB2312" w:eastAsia="仿宋_GB2312"/>
                <w:sz w:val="28"/>
                <w:szCs w:val="28"/>
              </w:rPr>
              <w:t>地点</w:t>
            </w:r>
            <w:r>
              <w:rPr>
                <w:rFonts w:ascii="仿宋_GB2312" w:eastAsia="仿宋_GB2312"/>
                <w:sz w:val="28"/>
                <w:szCs w:val="28"/>
              </w:rPr>
              <w:t>：</w:t>
            </w:r>
            <w:r>
              <w:rPr>
                <w:rFonts w:hint="eastAsia" w:ascii="仿宋_GB2312" w:eastAsia="仿宋_GB2312"/>
                <w:sz w:val="28"/>
                <w:szCs w:val="28"/>
              </w:rPr>
              <w:t>钱塘区</w:t>
            </w:r>
          </w:p>
        </w:tc>
        <w:tc>
          <w:tcPr>
            <w:tcW w:w="866" w:type="pct"/>
            <w:vMerge w:val="continue"/>
            <w:tcBorders>
              <w:left w:val="nil"/>
              <w:right w:val="single" w:color="auto" w:sz="4" w:space="0"/>
            </w:tcBorders>
            <w:shd w:val="clear" w:color="000000" w:fill="FFFFFF"/>
            <w:vAlign w:val="center"/>
          </w:tcPr>
          <w:p w14:paraId="53620D21">
            <w:pPr>
              <w:autoSpaceDE w:val="0"/>
              <w:autoSpaceDN w:val="0"/>
              <w:adjustRightInd w:val="0"/>
              <w:snapToGrid w:val="0"/>
              <w:ind w:firstLine="280" w:firstLineChars="100"/>
              <w:rPr>
                <w:rFonts w:ascii="仿宋_GB2312" w:eastAsia="仿宋_GB2312"/>
                <w:sz w:val="28"/>
                <w:szCs w:val="28"/>
              </w:rPr>
            </w:pPr>
          </w:p>
        </w:tc>
      </w:tr>
      <w:tr w14:paraId="60B11C6D">
        <w:tblPrEx>
          <w:tblCellMar>
            <w:top w:w="0" w:type="dxa"/>
            <w:left w:w="108" w:type="dxa"/>
            <w:bottom w:w="0" w:type="dxa"/>
            <w:right w:w="108" w:type="dxa"/>
          </w:tblCellMar>
        </w:tblPrEx>
        <w:trPr>
          <w:trHeight w:val="678" w:hRule="atLeast"/>
        </w:trPr>
        <w:tc>
          <w:tcPr>
            <w:tcW w:w="457" w:type="pct"/>
            <w:vMerge w:val="continue"/>
            <w:tcBorders>
              <w:left w:val="single" w:color="auto" w:sz="8" w:space="0"/>
              <w:bottom w:val="single" w:color="auto" w:sz="4" w:space="0"/>
              <w:right w:val="single" w:color="auto" w:sz="4" w:space="0"/>
            </w:tcBorders>
            <w:shd w:val="clear" w:color="000000" w:fill="FFFFFF"/>
            <w:noWrap/>
            <w:vAlign w:val="center"/>
          </w:tcPr>
          <w:p w14:paraId="7E654122">
            <w:pPr>
              <w:autoSpaceDE w:val="0"/>
              <w:autoSpaceDN w:val="0"/>
              <w:adjustRightInd w:val="0"/>
              <w:snapToGrid w:val="0"/>
              <w:jc w:val="center"/>
              <w:rPr>
                <w:rFonts w:ascii="仿宋_GB2312" w:eastAsia="仿宋_GB2312"/>
                <w:sz w:val="28"/>
                <w:szCs w:val="28"/>
              </w:rPr>
            </w:pPr>
          </w:p>
        </w:tc>
        <w:tc>
          <w:tcPr>
            <w:tcW w:w="1118" w:type="pct"/>
            <w:vMerge w:val="continue"/>
            <w:tcBorders>
              <w:left w:val="nil"/>
              <w:bottom w:val="single" w:color="auto" w:sz="4" w:space="0"/>
              <w:right w:val="single" w:color="auto" w:sz="4" w:space="0"/>
            </w:tcBorders>
            <w:shd w:val="clear" w:color="000000" w:fill="FFFFFF"/>
            <w:vAlign w:val="center"/>
          </w:tcPr>
          <w:p w14:paraId="6E54AF28">
            <w:pPr>
              <w:autoSpaceDE w:val="0"/>
              <w:autoSpaceDN w:val="0"/>
              <w:adjustRightInd w:val="0"/>
              <w:snapToGrid w:val="0"/>
              <w:jc w:val="center"/>
              <w:rPr>
                <w:rFonts w:ascii="仿宋_GB2312" w:eastAsia="仿宋_GB2312"/>
                <w:sz w:val="28"/>
                <w:szCs w:val="28"/>
              </w:rPr>
            </w:pPr>
          </w:p>
        </w:tc>
        <w:tc>
          <w:tcPr>
            <w:tcW w:w="855" w:type="pct"/>
            <w:vMerge w:val="continue"/>
            <w:tcBorders>
              <w:left w:val="nil"/>
              <w:bottom w:val="single" w:color="auto" w:sz="4" w:space="0"/>
              <w:right w:val="single" w:color="auto" w:sz="4" w:space="0"/>
            </w:tcBorders>
            <w:shd w:val="clear" w:color="000000" w:fill="FFFFFF"/>
            <w:vAlign w:val="center"/>
          </w:tcPr>
          <w:p w14:paraId="2FB501F1">
            <w:pPr>
              <w:autoSpaceDE w:val="0"/>
              <w:autoSpaceDN w:val="0"/>
              <w:adjustRightInd w:val="0"/>
              <w:snapToGrid w:val="0"/>
              <w:jc w:val="center"/>
              <w:rPr>
                <w:rFonts w:ascii="仿宋_GB2312" w:eastAsia="仿宋_GB2312"/>
                <w:sz w:val="28"/>
                <w:szCs w:val="28"/>
              </w:rPr>
            </w:pPr>
          </w:p>
        </w:tc>
        <w:tc>
          <w:tcPr>
            <w:tcW w:w="1702" w:type="pct"/>
            <w:tcBorders>
              <w:top w:val="nil"/>
              <w:left w:val="nil"/>
              <w:bottom w:val="single" w:color="auto" w:sz="4" w:space="0"/>
              <w:right w:val="single" w:color="auto" w:sz="4" w:space="0"/>
            </w:tcBorders>
            <w:shd w:val="clear" w:color="000000" w:fill="FFFFFF"/>
            <w:vAlign w:val="center"/>
          </w:tcPr>
          <w:p w14:paraId="4ED1E291">
            <w:pPr>
              <w:autoSpaceDE w:val="0"/>
              <w:autoSpaceDN w:val="0"/>
              <w:adjustRightInd w:val="0"/>
              <w:snapToGrid w:val="0"/>
              <w:rPr>
                <w:rFonts w:ascii="仿宋_GB2312" w:eastAsia="仿宋_GB2312"/>
                <w:sz w:val="28"/>
                <w:szCs w:val="28"/>
              </w:rPr>
            </w:pPr>
            <w:r>
              <w:rPr>
                <w:rFonts w:hint="eastAsia" w:ascii="仿宋_GB2312" w:eastAsia="仿宋_GB2312"/>
                <w:sz w:val="28"/>
                <w:szCs w:val="28"/>
              </w:rPr>
              <w:t>内容：交通影响评价服务</w:t>
            </w:r>
          </w:p>
        </w:tc>
        <w:tc>
          <w:tcPr>
            <w:tcW w:w="866" w:type="pct"/>
            <w:vMerge w:val="continue"/>
            <w:tcBorders>
              <w:left w:val="nil"/>
              <w:bottom w:val="single" w:color="auto" w:sz="4" w:space="0"/>
              <w:right w:val="single" w:color="auto" w:sz="4" w:space="0"/>
            </w:tcBorders>
            <w:shd w:val="clear" w:color="000000" w:fill="FFFFFF"/>
            <w:vAlign w:val="center"/>
          </w:tcPr>
          <w:p w14:paraId="703A1999">
            <w:pPr>
              <w:autoSpaceDE w:val="0"/>
              <w:autoSpaceDN w:val="0"/>
              <w:adjustRightInd w:val="0"/>
              <w:snapToGrid w:val="0"/>
              <w:rPr>
                <w:rFonts w:ascii="仿宋_GB2312" w:eastAsia="仿宋_GB2312"/>
                <w:sz w:val="28"/>
                <w:szCs w:val="28"/>
              </w:rPr>
            </w:pPr>
          </w:p>
        </w:tc>
      </w:tr>
    </w:tbl>
    <w:p w14:paraId="49EF1B52">
      <w:pPr>
        <w:autoSpaceDE w:val="0"/>
        <w:autoSpaceDN w:val="0"/>
        <w:adjustRightInd w:val="0"/>
        <w:snapToGrid w:val="0"/>
        <w:rPr>
          <w:rFonts w:ascii="仿宋_GB2312" w:eastAsia="仿宋_GB2312"/>
          <w:b/>
          <w:sz w:val="32"/>
          <w:szCs w:val="32"/>
        </w:rPr>
      </w:pPr>
    </w:p>
    <w:p w14:paraId="0DACB8A9">
      <w:pPr>
        <w:numPr>
          <w:ilvl w:val="0"/>
          <w:numId w:val="1"/>
        </w:num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具体</w:t>
      </w:r>
      <w:r>
        <w:rPr>
          <w:rFonts w:ascii="仿宋_GB2312" w:eastAsia="仿宋_GB2312"/>
          <w:b/>
          <w:sz w:val="32"/>
          <w:szCs w:val="32"/>
        </w:rPr>
        <w:t>需求</w:t>
      </w:r>
    </w:p>
    <w:p w14:paraId="0C5600E9">
      <w:pPr>
        <w:pStyle w:val="6"/>
        <w:rPr>
          <w:rFonts w:hint="default"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（一）项目基本概况</w:t>
      </w:r>
    </w:p>
    <w:p w14:paraId="09201235">
      <w:pPr>
        <w:spacing w:line="560" w:lineRule="exact"/>
        <w:ind w:firstLine="483" w:firstLineChars="151"/>
        <w:rPr>
          <w:rFonts w:hint="eastAsia" w:ascii="仿宋" w:hAnsi="仿宋" w:eastAsia="仿宋" w:cs="仿宋"/>
          <w:color w:val="000000"/>
          <w:kern w:val="0"/>
          <w:sz w:val="32"/>
          <w:szCs w:val="32"/>
          <w:highlight w:val="yellow"/>
          <w:lang w:val="en-US" w:eastAsia="zh-CN" w:bidi="ar"/>
        </w:rPr>
      </w:pPr>
      <w:r>
        <w:rPr>
          <w:rFonts w:hint="eastAsia" w:ascii="仿宋" w:hAnsi="仿宋" w:eastAsia="仿宋" w:cs="仿宋"/>
          <w:color w:val="000000"/>
          <w:kern w:val="0"/>
          <w:sz w:val="32"/>
          <w:szCs w:val="32"/>
          <w:highlight w:val="none"/>
          <w:lang w:val="en-US" w:eastAsia="zh-CN" w:bidi="ar"/>
        </w:rPr>
        <w:t>项目建设用地面积约6.19公顷（折合92.8亩），其中新增建设用地面积5.89公顷（折合88.3亩）。</w:t>
      </w:r>
    </w:p>
    <w:p w14:paraId="288F079E">
      <w:pPr>
        <w:pStyle w:val="6"/>
        <w:rPr>
          <w:rFonts w:hint="eastAsia" w:ascii="仿宋_GB2312" w:hAnsi="Times New Roman" w:eastAsia="仿宋_GB2312" w:cs="Times New Roman"/>
          <w:b/>
          <w:bCs/>
          <w:sz w:val="32"/>
          <w:szCs w:val="32"/>
          <w:lang w:val="en-US" w:eastAsia="zh-CN"/>
        </w:rPr>
      </w:pPr>
    </w:p>
    <w:p w14:paraId="4094CAAE">
      <w:pPr>
        <w:pStyle w:val="6"/>
        <w:rPr>
          <w:rFonts w:hint="default"/>
          <w:b/>
          <w:bCs/>
          <w:sz w:val="32"/>
          <w:szCs w:val="32"/>
          <w:lang w:val="en-US" w:eastAsia="zh-CN"/>
        </w:rPr>
      </w:pPr>
      <w:r>
        <w:rPr>
          <w:rFonts w:hint="eastAsia" w:ascii="仿宋_GB2312" w:hAnsi="Times New Roman" w:eastAsia="仿宋_GB2312" w:cs="Times New Roman"/>
          <w:b/>
          <w:bCs/>
          <w:sz w:val="32"/>
          <w:szCs w:val="32"/>
          <w:lang w:val="en-US" w:eastAsia="zh-CN"/>
        </w:rPr>
        <w:t>（二）服务范围及内容：</w:t>
      </w:r>
    </w:p>
    <w:p w14:paraId="5CBB6AF4">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项目交通影响评价，包括但不限于项目周边区域交通、规划用地现状调查及分析、项目远期建成年项目交通量预测分析、远期建成年区域路网交通模型仿真及拥堵状况分析及项目内部大型车辆路径轮迹仿真分析、周边道路交通组织方式论证分析；交叉口渠化建议、停车配建分析、地面车位优化及规范符合性分析、地下车库出入口数量、位置及交通流线分析及改善措施、地下室车位优化及规范符合性分析、结论及建议，同时负责与审批职能部门沟通取得批复。</w:t>
      </w:r>
    </w:p>
    <w:p w14:paraId="30191197">
      <w:pPr>
        <w:autoSpaceDE w:val="0"/>
        <w:autoSpaceDN w:val="0"/>
        <w:adjustRightInd w:val="0"/>
        <w:snapToGrid w:val="0"/>
        <w:spacing w:line="360" w:lineRule="auto"/>
        <w:ind w:firstLine="643" w:firstLineChars="200"/>
        <w:rPr>
          <w:rFonts w:hint="eastAsia" w:ascii="仿宋_GB2312" w:eastAsia="仿宋_GB2312"/>
          <w:b/>
          <w:bCs/>
          <w:sz w:val="32"/>
          <w:szCs w:val="32"/>
          <w:lang w:eastAsia="zh-CN"/>
        </w:rPr>
      </w:pPr>
      <w:r>
        <w:rPr>
          <w:rFonts w:hint="eastAsia" w:ascii="仿宋_GB2312" w:eastAsia="仿宋_GB2312"/>
          <w:b/>
          <w:bCs/>
          <w:sz w:val="32"/>
          <w:szCs w:val="32"/>
          <w:lang w:val="en-US" w:eastAsia="zh-CN"/>
        </w:rPr>
        <w:t>1、</w:t>
      </w:r>
      <w:r>
        <w:rPr>
          <w:rFonts w:hint="eastAsia" w:ascii="仿宋_GB2312" w:eastAsia="仿宋_GB2312"/>
          <w:b/>
          <w:bCs/>
          <w:sz w:val="32"/>
          <w:szCs w:val="32"/>
          <w:lang w:eastAsia="zh-CN"/>
        </w:rPr>
        <w:t>要求和内容</w:t>
      </w:r>
    </w:p>
    <w:p w14:paraId="268E7189">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要求</w:t>
      </w:r>
    </w:p>
    <w:p w14:paraId="65B6BAB5">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按照中华人民共和国国家标准和浙江省有关规定的要求，编制本项目交通影响分析报告。积极配合</w:t>
      </w:r>
      <w:r>
        <w:rPr>
          <w:rFonts w:hint="eastAsia" w:ascii="仿宋_GB2312" w:eastAsia="仿宋_GB2312"/>
          <w:sz w:val="32"/>
          <w:szCs w:val="32"/>
          <w:lang w:eastAsia="zh-CN"/>
        </w:rPr>
        <w:t>甲方和</w:t>
      </w:r>
      <w:r>
        <w:rPr>
          <w:rFonts w:hint="eastAsia" w:ascii="仿宋_GB2312" w:eastAsia="仿宋_GB2312"/>
          <w:sz w:val="32"/>
          <w:szCs w:val="32"/>
        </w:rPr>
        <w:t>审批职能部门按照相关规定，在最短时间内，取得交通影响分析报告的批准通过。</w:t>
      </w:r>
    </w:p>
    <w:p w14:paraId="4266FB22">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报告主要内容</w:t>
      </w:r>
    </w:p>
    <w:p w14:paraId="7603DE59">
      <w:pPr>
        <w:autoSpaceDE w:val="0"/>
        <w:autoSpaceDN w:val="0"/>
        <w:adjustRightInd w:val="0"/>
        <w:snapToGrid w:val="0"/>
        <w:spacing w:line="360" w:lineRule="auto"/>
        <w:ind w:firstLine="960" w:firstLineChars="300"/>
        <w:rPr>
          <w:rFonts w:hint="eastAsia" w:ascii="仿宋_GB2312" w:eastAsia="仿宋_GB2312"/>
          <w:sz w:val="32"/>
          <w:szCs w:val="32"/>
        </w:rPr>
      </w:pPr>
      <w:r>
        <w:rPr>
          <w:rFonts w:hint="eastAsia" w:ascii="仿宋_GB2312" w:eastAsia="仿宋_GB2312"/>
          <w:sz w:val="32"/>
          <w:szCs w:val="32"/>
        </w:rPr>
        <w:t>1）发展项目内部交通评价及改善建议</w:t>
      </w:r>
    </w:p>
    <w:p w14:paraId="39B58B99">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根据</w:t>
      </w:r>
      <w:r>
        <w:rPr>
          <w:rFonts w:hint="eastAsia" w:ascii="仿宋_GB2312" w:eastAsia="仿宋_GB2312"/>
          <w:sz w:val="32"/>
          <w:szCs w:val="32"/>
          <w:lang w:eastAsia="zh-CN"/>
        </w:rPr>
        <w:t>甲方</w:t>
      </w:r>
      <w:r>
        <w:rPr>
          <w:rFonts w:hint="eastAsia" w:ascii="仿宋_GB2312" w:eastAsia="仿宋_GB2312"/>
          <w:sz w:val="32"/>
          <w:szCs w:val="32"/>
        </w:rPr>
        <w:t>所提供的项目建筑方案，对于项目内部交通组织安排进行评价并提供建议。</w:t>
      </w:r>
    </w:p>
    <w:p w14:paraId="784AB487">
      <w:pPr>
        <w:autoSpaceDE w:val="0"/>
        <w:autoSpaceDN w:val="0"/>
        <w:adjustRightInd w:val="0"/>
        <w:snapToGrid w:val="0"/>
        <w:spacing w:line="360" w:lineRule="auto"/>
        <w:ind w:firstLine="960" w:firstLineChars="300"/>
        <w:rPr>
          <w:rFonts w:hint="eastAsia" w:ascii="仿宋_GB2312" w:eastAsia="仿宋_GB2312"/>
          <w:sz w:val="32"/>
          <w:szCs w:val="32"/>
        </w:rPr>
      </w:pPr>
      <w:r>
        <w:rPr>
          <w:rFonts w:hint="eastAsia" w:ascii="仿宋_GB2312" w:eastAsia="仿宋_GB2312"/>
          <w:sz w:val="32"/>
          <w:szCs w:val="32"/>
        </w:rPr>
        <w:t>2）发展项目外部交通评价及改善建议</w:t>
      </w:r>
    </w:p>
    <w:p w14:paraId="3C45A495">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将考虑本项目与外来交通的联系和便利性，优化出入口与外围道路连接处的交通组织，并提出有关交叉口或路段的改善建议。</w:t>
      </w:r>
    </w:p>
    <w:p w14:paraId="655E8780">
      <w:pPr>
        <w:autoSpaceDE w:val="0"/>
        <w:autoSpaceDN w:val="0"/>
        <w:adjustRightInd w:val="0"/>
        <w:snapToGrid w:val="0"/>
        <w:spacing w:line="360" w:lineRule="auto"/>
        <w:ind w:firstLine="643" w:firstLineChars="200"/>
        <w:rPr>
          <w:rFonts w:hint="eastAsia" w:ascii="仿宋_GB2312" w:eastAsia="仿宋_GB2312"/>
          <w:b/>
          <w:bCs/>
          <w:sz w:val="32"/>
          <w:szCs w:val="32"/>
          <w:lang w:eastAsia="zh-CN"/>
        </w:rPr>
      </w:pPr>
      <w:r>
        <w:rPr>
          <w:rFonts w:hint="eastAsia" w:ascii="仿宋_GB2312" w:eastAsia="仿宋_GB2312"/>
          <w:b/>
          <w:bCs/>
          <w:sz w:val="32"/>
          <w:szCs w:val="32"/>
        </w:rPr>
        <w:t>2</w:t>
      </w:r>
      <w:r>
        <w:rPr>
          <w:rFonts w:hint="eastAsia" w:ascii="仿宋_GB2312" w:eastAsia="仿宋_GB2312"/>
          <w:b/>
          <w:bCs/>
          <w:sz w:val="32"/>
          <w:szCs w:val="32"/>
          <w:lang w:eastAsia="zh-CN"/>
        </w:rPr>
        <w:t>、</w:t>
      </w:r>
      <w:r>
        <w:rPr>
          <w:rFonts w:hint="eastAsia" w:ascii="仿宋_GB2312" w:eastAsia="仿宋_GB2312"/>
          <w:b/>
          <w:bCs/>
          <w:sz w:val="32"/>
          <w:szCs w:val="32"/>
        </w:rPr>
        <w:t>完成进度</w:t>
      </w:r>
      <w:r>
        <w:rPr>
          <w:rFonts w:hint="eastAsia" w:ascii="仿宋_GB2312" w:eastAsia="仿宋_GB2312"/>
          <w:b/>
          <w:bCs/>
          <w:sz w:val="32"/>
          <w:szCs w:val="32"/>
          <w:lang w:eastAsia="zh-CN"/>
        </w:rPr>
        <w:t>要求</w:t>
      </w:r>
    </w:p>
    <w:p w14:paraId="5AED8981">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在</w:t>
      </w:r>
      <w:r>
        <w:rPr>
          <w:rFonts w:hint="eastAsia" w:ascii="仿宋_GB2312" w:eastAsia="仿宋_GB2312"/>
          <w:sz w:val="32"/>
          <w:szCs w:val="32"/>
          <w:lang w:eastAsia="zh-CN"/>
        </w:rPr>
        <w:t>甲方</w:t>
      </w:r>
      <w:r>
        <w:rPr>
          <w:rFonts w:hint="eastAsia" w:ascii="仿宋_GB2312" w:eastAsia="仿宋_GB2312"/>
          <w:sz w:val="32"/>
          <w:szCs w:val="32"/>
        </w:rPr>
        <w:t>提供建筑方案2个工作日之内，应对方案中的交通问题提供改善意见，在建筑方案落实交通影响分析意见后3个工作日内向</w:t>
      </w:r>
      <w:r>
        <w:rPr>
          <w:rFonts w:hint="eastAsia" w:ascii="仿宋_GB2312" w:eastAsia="仿宋_GB2312"/>
          <w:sz w:val="32"/>
          <w:szCs w:val="32"/>
          <w:lang w:eastAsia="zh-CN"/>
        </w:rPr>
        <w:t>建设单位和相关审批部门</w:t>
      </w:r>
      <w:r>
        <w:rPr>
          <w:rFonts w:hint="eastAsia" w:ascii="仿宋_GB2312" w:eastAsia="仿宋_GB2312"/>
          <w:sz w:val="32"/>
          <w:szCs w:val="32"/>
        </w:rPr>
        <w:t>提交本项目交通影响分析文本。</w:t>
      </w:r>
    </w:p>
    <w:p w14:paraId="4306AFCF">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须在交警部门下达通过的交通影响分析审查意见后向甲方提交本项目交通影响分析文本备案。</w:t>
      </w:r>
    </w:p>
    <w:p w14:paraId="4FB4E6AA">
      <w:pPr>
        <w:autoSpaceDE w:val="0"/>
        <w:autoSpaceDN w:val="0"/>
        <w:adjustRightInd w:val="0"/>
        <w:snapToGrid w:val="0"/>
        <w:spacing w:line="360" w:lineRule="auto"/>
        <w:ind w:firstLine="643" w:firstLineChars="200"/>
        <w:rPr>
          <w:rFonts w:hint="eastAsia" w:ascii="仿宋_GB2312" w:eastAsia="仿宋_GB2312"/>
          <w:b/>
          <w:bCs/>
          <w:sz w:val="32"/>
          <w:szCs w:val="32"/>
        </w:rPr>
      </w:pPr>
      <w:r>
        <w:rPr>
          <w:rFonts w:hint="eastAsia" w:ascii="仿宋_GB2312" w:eastAsia="仿宋_GB2312"/>
          <w:b/>
          <w:bCs/>
          <w:sz w:val="32"/>
          <w:szCs w:val="32"/>
          <w:lang w:val="en-US" w:eastAsia="zh-CN"/>
        </w:rPr>
        <w:t>3、</w:t>
      </w:r>
      <w:r>
        <w:rPr>
          <w:rFonts w:hint="eastAsia" w:ascii="仿宋_GB2312" w:eastAsia="仿宋_GB2312"/>
          <w:b/>
          <w:bCs/>
          <w:sz w:val="32"/>
          <w:szCs w:val="32"/>
        </w:rPr>
        <w:t>服务期</w:t>
      </w:r>
    </w:p>
    <w:p w14:paraId="2021EAF0">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服务期为合同签订后至交通影响评价服务所有工作内容完成之日止，具体的时间节点需满足项目的总体进度计划和医院的具体要求。</w:t>
      </w:r>
    </w:p>
    <w:p w14:paraId="256A6E2A">
      <w:pPr>
        <w:autoSpaceDE w:val="0"/>
        <w:autoSpaceDN w:val="0"/>
        <w:adjustRightInd w:val="0"/>
        <w:snapToGrid w:val="0"/>
        <w:spacing w:line="360" w:lineRule="auto"/>
        <w:ind w:firstLine="643" w:firstLineChars="200"/>
        <w:rPr>
          <w:rFonts w:hint="eastAsia" w:ascii="仿宋_GB2312" w:eastAsia="仿宋_GB2312"/>
          <w:b/>
          <w:bCs/>
          <w:sz w:val="32"/>
          <w:szCs w:val="32"/>
        </w:rPr>
      </w:pPr>
      <w:r>
        <w:rPr>
          <w:rFonts w:hint="eastAsia" w:ascii="仿宋_GB2312" w:eastAsia="仿宋_GB2312"/>
          <w:b/>
          <w:bCs/>
          <w:sz w:val="32"/>
          <w:szCs w:val="32"/>
          <w:lang w:val="en-US" w:eastAsia="zh-CN"/>
        </w:rPr>
        <w:t>4、</w:t>
      </w:r>
      <w:r>
        <w:rPr>
          <w:rFonts w:hint="eastAsia" w:ascii="仿宋_GB2312" w:eastAsia="仿宋_GB2312"/>
          <w:b/>
          <w:bCs/>
          <w:sz w:val="32"/>
          <w:szCs w:val="32"/>
        </w:rPr>
        <w:t>报价要求</w:t>
      </w:r>
    </w:p>
    <w:p w14:paraId="1A4EFF8F">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（1）本项目的报价上限为</w:t>
      </w:r>
      <w:r>
        <w:rPr>
          <w:rFonts w:hint="eastAsia" w:ascii="仿宋_GB2312" w:eastAsia="仿宋_GB2312"/>
          <w:sz w:val="32"/>
          <w:szCs w:val="32"/>
          <w:highlight w:val="none"/>
          <w:lang w:val="en-US" w:eastAsia="zh-CN"/>
        </w:rPr>
        <w:t>5</w:t>
      </w:r>
      <w:r>
        <w:rPr>
          <w:rFonts w:hint="eastAsia" w:ascii="仿宋_GB2312" w:eastAsia="仿宋_GB2312"/>
          <w:sz w:val="32"/>
          <w:szCs w:val="32"/>
        </w:rPr>
        <w:t>万元，超过</w:t>
      </w:r>
      <w:r>
        <w:rPr>
          <w:rFonts w:hint="eastAsia" w:ascii="仿宋_GB2312" w:eastAsia="仿宋_GB2312"/>
          <w:sz w:val="32"/>
          <w:szCs w:val="32"/>
          <w:highlight w:val="none"/>
          <w:lang w:val="en-US" w:eastAsia="zh-CN"/>
        </w:rPr>
        <w:t>5</w:t>
      </w:r>
      <w:r>
        <w:rPr>
          <w:rFonts w:hint="eastAsia" w:ascii="仿宋_GB2312" w:eastAsia="仿宋_GB2312"/>
          <w:sz w:val="32"/>
          <w:szCs w:val="32"/>
        </w:rPr>
        <w:t>万元的报价将被拒绝。</w:t>
      </w:r>
    </w:p>
    <w:p w14:paraId="6DEF1EBC">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eastAsia="zh-CN"/>
        </w:rPr>
        <w:t>交通</w:t>
      </w:r>
      <w:r>
        <w:rPr>
          <w:rFonts w:hint="eastAsia" w:ascii="仿宋_GB2312" w:eastAsia="仿宋_GB2312"/>
          <w:sz w:val="32"/>
          <w:szCs w:val="32"/>
        </w:rPr>
        <w:t>影响评价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14:paraId="6BBE43CB">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交通</w:t>
      </w:r>
      <w:r>
        <w:rPr>
          <w:rFonts w:hint="eastAsia" w:ascii="仿宋_GB2312" w:eastAsia="仿宋_GB2312"/>
          <w:sz w:val="32"/>
          <w:szCs w:val="32"/>
        </w:rPr>
        <w:t>影响评价报价应包括为完成本项目服务可能发生的全部费用及</w:t>
      </w:r>
      <w:r>
        <w:rPr>
          <w:rFonts w:hint="eastAsia" w:ascii="仿宋_GB2312" w:eastAsia="仿宋_GB2312"/>
          <w:sz w:val="32"/>
          <w:szCs w:val="32"/>
          <w:lang w:eastAsia="zh-CN"/>
        </w:rPr>
        <w:t>交通</w:t>
      </w:r>
      <w:r>
        <w:rPr>
          <w:rFonts w:hint="eastAsia" w:ascii="仿宋_GB2312" w:eastAsia="仿宋_GB2312"/>
          <w:sz w:val="32"/>
          <w:szCs w:val="32"/>
        </w:rPr>
        <w:t>影响评价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w:t>
      </w:r>
      <w:r>
        <w:rPr>
          <w:rFonts w:hint="eastAsia" w:ascii="仿宋_GB2312" w:eastAsia="仿宋_GB2312"/>
          <w:sz w:val="32"/>
          <w:szCs w:val="32"/>
          <w:lang w:eastAsia="zh-CN"/>
        </w:rPr>
        <w:t>交通</w:t>
      </w:r>
      <w:r>
        <w:rPr>
          <w:rFonts w:hint="eastAsia" w:ascii="仿宋_GB2312" w:eastAsia="仿宋_GB2312"/>
          <w:sz w:val="32"/>
          <w:szCs w:val="32"/>
        </w:rPr>
        <w:t>影响评价供应商对询价内容的费用、质量、服务等实行全面承包。</w:t>
      </w:r>
    </w:p>
    <w:p w14:paraId="639A836D">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b/>
          <w:bCs/>
          <w:sz w:val="32"/>
          <w:szCs w:val="32"/>
          <w:lang w:val="en-US" w:eastAsia="zh-CN"/>
        </w:rPr>
        <w:t>款项支付</w:t>
      </w:r>
      <w:r>
        <w:rPr>
          <w:rFonts w:hint="eastAsia" w:ascii="仿宋_GB2312" w:eastAsia="仿宋_GB2312"/>
          <w:sz w:val="32"/>
          <w:szCs w:val="32"/>
          <w:lang w:val="en-US" w:eastAsia="zh-CN"/>
        </w:rPr>
        <w:t>：（具体以合同签订时约定为准）</w:t>
      </w:r>
    </w:p>
    <w:p w14:paraId="529FA2F6">
      <w:pPr>
        <w:autoSpaceDE w:val="0"/>
        <w:autoSpaceDN w:val="0"/>
        <w:adjustRightInd w:val="0"/>
        <w:snapToGrid w:val="0"/>
        <w:spacing w:line="360" w:lineRule="auto"/>
        <w:ind w:firstLine="640" w:firstLineChars="200"/>
        <w:rPr>
          <w:rFonts w:hint="eastAsia" w:ascii="仿宋_GB2312" w:eastAsia="仿宋_GB2312"/>
          <w:b w:val="0"/>
          <w:bCs/>
          <w:sz w:val="32"/>
          <w:szCs w:val="32"/>
        </w:rPr>
      </w:pPr>
      <w:r>
        <w:rPr>
          <w:rFonts w:hint="eastAsia" w:ascii="仿宋_GB2312" w:eastAsia="仿宋_GB2312"/>
          <w:b w:val="0"/>
          <w:bCs/>
          <w:sz w:val="32"/>
          <w:szCs w:val="32"/>
        </w:rPr>
        <w:t>在本项目交通影响分析通过交警部门审查取得批复且乙方提供等额有效的增值税发票后</w:t>
      </w:r>
      <w:r>
        <w:rPr>
          <w:rFonts w:hint="eastAsia" w:ascii="仿宋_GB2312" w:eastAsia="仿宋_GB2312"/>
          <w:b w:val="0"/>
          <w:bCs/>
          <w:sz w:val="32"/>
          <w:szCs w:val="32"/>
          <w:lang w:val="en-US" w:eastAsia="zh-CN"/>
        </w:rPr>
        <w:t>30</w:t>
      </w:r>
      <w:r>
        <w:rPr>
          <w:rFonts w:hint="eastAsia" w:ascii="仿宋_GB2312" w:eastAsia="仿宋_GB2312"/>
          <w:b w:val="0"/>
          <w:bCs/>
          <w:sz w:val="32"/>
          <w:szCs w:val="32"/>
        </w:rPr>
        <w:t>个工作日内甲方支付合同全款。</w:t>
      </w:r>
    </w:p>
    <w:p w14:paraId="23BCF788">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14:paraId="006A81D0">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w:t>
      </w:r>
      <w:bookmarkStart w:id="0" w:name="_GoBack"/>
      <w:bookmarkEnd w:id="0"/>
      <w:r>
        <w:rPr>
          <w:rFonts w:hint="eastAsia" w:ascii="仿宋_GB2312" w:hAnsi="Times New Roman" w:eastAsia="仿宋_GB2312" w:cs="Times New Roman"/>
          <w:color w:val="auto"/>
          <w:sz w:val="32"/>
          <w:szCs w:val="32"/>
        </w:rPr>
        <w:t>询价时间：</w:t>
      </w: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14</w:t>
      </w:r>
      <w:r>
        <w:rPr>
          <w:rFonts w:hint="eastAsia" w:ascii="仿宋_GB2312" w:eastAsia="仿宋_GB2312"/>
          <w:sz w:val="32"/>
          <w:szCs w:val="32"/>
        </w:rPr>
        <w:t xml:space="preserve">日下午13:30（请于13:15提前到场签到）    </w:t>
      </w:r>
    </w:p>
    <w:p w14:paraId="738822A5">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2、询价地址：杭州市庆春路79号浙大一院1号楼9层会议室（餐厅旁）</w:t>
      </w:r>
    </w:p>
    <w:p w14:paraId="25B91EBB">
      <w:pPr>
        <w:autoSpaceDE w:val="0"/>
        <w:autoSpaceDN w:val="0"/>
        <w:adjustRightInd w:val="0"/>
        <w:snapToGrid w:val="0"/>
        <w:spacing w:line="360" w:lineRule="auto"/>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w:t>
      </w:r>
      <w:r>
        <w:rPr>
          <w:rFonts w:hint="eastAsia" w:ascii="仿宋_GB2312" w:eastAsia="仿宋_GB2312"/>
          <w:sz w:val="32"/>
          <w:szCs w:val="32"/>
          <w:lang w:val="en-US" w:eastAsia="zh-CN"/>
        </w:rPr>
        <w:t>四</w:t>
      </w:r>
      <w:r>
        <w:rPr>
          <w:rFonts w:hint="eastAsia" w:ascii="仿宋_GB2312" w:eastAsia="仿宋_GB2312"/>
          <w:sz w:val="32"/>
          <w:szCs w:val="32"/>
        </w:rPr>
        <w:t>份</w:t>
      </w:r>
    </w:p>
    <w:p w14:paraId="7D1F91F9">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w:t>
      </w:r>
      <w:r>
        <w:rPr>
          <w:rFonts w:hint="eastAsia" w:ascii="仿宋_GB2312" w:eastAsia="仿宋_GB2312"/>
          <w:sz w:val="32"/>
          <w:szCs w:val="32"/>
          <w:lang w:val="en-US" w:eastAsia="zh-CN"/>
        </w:rPr>
        <w:t>09</w:t>
      </w:r>
    </w:p>
    <w:p w14:paraId="4804DD27">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227F30CA">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p>
    <w:p w14:paraId="19BD255E">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652C5EF7">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14:paraId="17F4359B">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750DA5B5">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4FA3C63A">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17339BEB">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w:t>
      </w:r>
      <w:r>
        <w:rPr>
          <w:rFonts w:hint="eastAsia" w:ascii="仿宋_GB2312" w:hAnsi="仿宋_GB2312" w:eastAsia="仿宋_GB2312" w:cs="仿宋_GB2312"/>
          <w:sz w:val="32"/>
          <w:szCs w:val="32"/>
          <w:lang w:val="en-US" w:eastAsia="zh-CN"/>
        </w:rPr>
        <w:t>件</w:t>
      </w:r>
    </w:p>
    <w:p w14:paraId="365A60B8">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190BDBAD">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14:paraId="4E796D1C">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139FF928">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全部内容进行投标。总报价合计为人民币（大写）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w:t>
      </w:r>
    </w:p>
    <w:p w14:paraId="5EBF4A74">
      <w:pPr>
        <w:pStyle w:val="2"/>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14:paraId="39D68DD6">
      <w:pPr>
        <w:spacing w:line="360" w:lineRule="auto"/>
        <w:ind w:firstLine="640" w:firstLineChars="200"/>
        <w:rPr>
          <w:rFonts w:ascii="仿宋_GB2312" w:hAnsi="宋体" w:eastAsia="仿宋_GB2312"/>
          <w:sz w:val="32"/>
          <w:szCs w:val="32"/>
        </w:rPr>
      </w:pPr>
    </w:p>
    <w:p w14:paraId="424E9FFF">
      <w:pPr>
        <w:spacing w:line="360" w:lineRule="auto"/>
        <w:rPr>
          <w:rFonts w:ascii="仿宋_GB2312" w:hAnsi="宋体" w:eastAsia="仿宋_GB2312"/>
          <w:sz w:val="32"/>
          <w:szCs w:val="32"/>
        </w:rPr>
      </w:pPr>
    </w:p>
    <w:p w14:paraId="75CD1895">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0D43C9A7">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43209E43">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59AB4382">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641F1BC3">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0F5E7059">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6BBEE40C">
      <w:pPr>
        <w:jc w:val="center"/>
        <w:rPr>
          <w:sz w:val="28"/>
          <w:szCs w:val="28"/>
        </w:rPr>
      </w:pPr>
    </w:p>
    <w:p w14:paraId="5E960841">
      <w:pPr>
        <w:autoSpaceDE w:val="0"/>
        <w:autoSpaceDN w:val="0"/>
        <w:adjustRightInd w:val="0"/>
        <w:snapToGrid w:val="0"/>
        <w:rPr>
          <w:rFonts w:ascii="仿宋_GB2312" w:eastAsia="仿宋_GB2312"/>
          <w:b/>
          <w:sz w:val="32"/>
          <w:szCs w:val="32"/>
        </w:rPr>
      </w:pPr>
    </w:p>
    <w:p w14:paraId="09B7633E">
      <w:pPr>
        <w:widowControl/>
        <w:jc w:val="left"/>
        <w:rPr>
          <w:rFonts w:ascii="仿宋_GB2312" w:eastAsia="仿宋_GB2312"/>
          <w:b/>
          <w:sz w:val="32"/>
          <w:szCs w:val="32"/>
        </w:rPr>
      </w:pPr>
      <w:r>
        <w:rPr>
          <w:rFonts w:ascii="仿宋_GB2312" w:eastAsia="仿宋_GB2312"/>
          <w:b/>
          <w:sz w:val="32"/>
          <w:szCs w:val="32"/>
        </w:rPr>
        <w:br w:type="page"/>
      </w:r>
    </w:p>
    <w:p w14:paraId="6815B081">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14:paraId="61254122">
      <w:pPr>
        <w:autoSpaceDE w:val="0"/>
        <w:autoSpaceDN w:val="0"/>
        <w:adjustRightInd w:val="0"/>
        <w:snapToGrid w:val="0"/>
        <w:rPr>
          <w:rFonts w:ascii="仿宋_GB2312" w:eastAsia="仿宋_GB2312"/>
          <w:b/>
          <w:sz w:val="32"/>
          <w:szCs w:val="32"/>
        </w:rPr>
      </w:pPr>
    </w:p>
    <w:p w14:paraId="05CE484E">
      <w:pPr>
        <w:widowControl/>
        <w:jc w:val="left"/>
        <w:rPr>
          <w:rFonts w:ascii="仿宋_GB2312" w:eastAsia="仿宋_GB2312"/>
          <w:b/>
          <w:sz w:val="32"/>
          <w:szCs w:val="32"/>
        </w:rPr>
      </w:pPr>
      <w:r>
        <w:rPr>
          <w:rFonts w:ascii="仿宋_GB2312" w:eastAsia="仿宋_GB2312"/>
          <w:b/>
          <w:sz w:val="32"/>
          <w:szCs w:val="32"/>
        </w:rPr>
        <w:br w:type="page"/>
      </w:r>
    </w:p>
    <w:p w14:paraId="454BE04F">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2600E301">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2743895E">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58D8D9BD">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14:paraId="768E863E">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1D7B3770">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6D093098">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5A56DB83">
      <w:pPr>
        <w:snapToGrid w:val="0"/>
        <w:spacing w:beforeLines="50" w:after="50" w:line="360" w:lineRule="auto"/>
        <w:rPr>
          <w:rFonts w:ascii="仿宋_GB2312" w:eastAsia="仿宋_GB2312"/>
          <w:sz w:val="32"/>
          <w:szCs w:val="32"/>
        </w:rPr>
      </w:pPr>
    </w:p>
    <w:p w14:paraId="69D9E6EF">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16FB71FC">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65E03AE7">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6708BA04">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3CB1E684">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4BC4C215">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2E9B6FB6">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4177946B">
      <w:pPr>
        <w:autoSpaceDE w:val="0"/>
        <w:autoSpaceDN w:val="0"/>
        <w:adjustRightInd w:val="0"/>
        <w:snapToGrid w:val="0"/>
        <w:rPr>
          <w:rFonts w:ascii="仿宋_GB2312" w:eastAsia="仿宋_GB2312"/>
          <w:b/>
          <w:sz w:val="32"/>
          <w:szCs w:val="32"/>
        </w:rPr>
      </w:pPr>
    </w:p>
    <w:p w14:paraId="0A1574BA">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596BCF45">
      <w:pPr>
        <w:pStyle w:val="6"/>
        <w:ind w:left="528" w:hanging="528"/>
      </w:pPr>
    </w:p>
    <w:p w14:paraId="24F359DC">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2203856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7C9EEF9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1B466B85">
      <w:pPr>
        <w:autoSpaceDE w:val="0"/>
        <w:autoSpaceDN w:val="0"/>
        <w:adjustRightInd w:val="0"/>
        <w:snapToGrid w:val="0"/>
        <w:spacing w:line="360" w:lineRule="auto"/>
        <w:rPr>
          <w:rFonts w:ascii="仿宋_GB2312" w:eastAsia="仿宋_GB2312"/>
          <w:sz w:val="32"/>
          <w:szCs w:val="32"/>
        </w:rPr>
      </w:pPr>
    </w:p>
    <w:p w14:paraId="20BF7690">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226E4666">
      <w:pPr>
        <w:autoSpaceDE w:val="0"/>
        <w:autoSpaceDN w:val="0"/>
        <w:adjustRightInd w:val="0"/>
        <w:snapToGrid w:val="0"/>
        <w:spacing w:line="360" w:lineRule="auto"/>
        <w:ind w:firstLine="640" w:firstLineChars="200"/>
        <w:rPr>
          <w:rFonts w:ascii="仿宋_GB2312" w:eastAsia="仿宋_GB2312"/>
          <w:sz w:val="32"/>
          <w:szCs w:val="32"/>
        </w:rPr>
      </w:pPr>
    </w:p>
    <w:p w14:paraId="256B440C">
      <w:pPr>
        <w:autoSpaceDE w:val="0"/>
        <w:autoSpaceDN w:val="0"/>
        <w:adjustRightInd w:val="0"/>
        <w:snapToGrid w:val="0"/>
        <w:spacing w:line="360" w:lineRule="auto"/>
        <w:ind w:firstLine="640" w:firstLineChars="200"/>
        <w:rPr>
          <w:rFonts w:ascii="仿宋_GB2312" w:eastAsia="仿宋_GB2312"/>
          <w:sz w:val="32"/>
          <w:szCs w:val="32"/>
        </w:rPr>
      </w:pPr>
    </w:p>
    <w:p w14:paraId="7A8D69CA">
      <w:pPr>
        <w:autoSpaceDE w:val="0"/>
        <w:autoSpaceDN w:val="0"/>
        <w:adjustRightInd w:val="0"/>
        <w:snapToGrid w:val="0"/>
        <w:spacing w:line="360" w:lineRule="auto"/>
        <w:ind w:firstLine="640" w:firstLineChars="200"/>
        <w:rPr>
          <w:rFonts w:ascii="仿宋_GB2312" w:eastAsia="仿宋_GB2312"/>
          <w:sz w:val="32"/>
          <w:szCs w:val="32"/>
        </w:rPr>
      </w:pPr>
    </w:p>
    <w:p w14:paraId="5E7BB212">
      <w:pPr>
        <w:autoSpaceDE w:val="0"/>
        <w:autoSpaceDN w:val="0"/>
        <w:adjustRightInd w:val="0"/>
        <w:snapToGrid w:val="0"/>
        <w:spacing w:line="360" w:lineRule="auto"/>
        <w:ind w:firstLine="640" w:firstLineChars="200"/>
        <w:rPr>
          <w:rFonts w:ascii="仿宋_GB2312" w:eastAsia="仿宋_GB2312"/>
          <w:sz w:val="32"/>
          <w:szCs w:val="32"/>
        </w:rPr>
      </w:pPr>
    </w:p>
    <w:p w14:paraId="5013C79A">
      <w:pPr>
        <w:autoSpaceDE w:val="0"/>
        <w:autoSpaceDN w:val="0"/>
        <w:adjustRightInd w:val="0"/>
        <w:snapToGrid w:val="0"/>
        <w:spacing w:line="360" w:lineRule="auto"/>
        <w:ind w:firstLine="640" w:firstLineChars="200"/>
        <w:rPr>
          <w:rFonts w:ascii="仿宋_GB2312" w:eastAsia="仿宋_GB2312"/>
          <w:sz w:val="32"/>
          <w:szCs w:val="32"/>
        </w:rPr>
      </w:pPr>
    </w:p>
    <w:p w14:paraId="3165DD26">
      <w:pPr>
        <w:autoSpaceDE w:val="0"/>
        <w:autoSpaceDN w:val="0"/>
        <w:adjustRightInd w:val="0"/>
        <w:snapToGrid w:val="0"/>
        <w:spacing w:line="360" w:lineRule="auto"/>
        <w:ind w:firstLine="2560" w:firstLineChars="800"/>
        <w:rPr>
          <w:rFonts w:hint="eastAsia" w:ascii="仿宋_GB2312" w:eastAsia="仿宋_GB2312"/>
          <w:sz w:val="32"/>
          <w:szCs w:val="32"/>
        </w:rPr>
      </w:pPr>
      <w:r>
        <w:rPr>
          <w:rFonts w:hint="eastAsia" w:ascii="仿宋_GB2312" w:eastAsia="仿宋_GB2312"/>
          <w:sz w:val="32"/>
          <w:szCs w:val="32"/>
        </w:rPr>
        <w:t>项目名称：浙江省公共卫生临床中心</w:t>
      </w:r>
    </w:p>
    <w:p w14:paraId="28FBA822">
      <w:pPr>
        <w:autoSpaceDE w:val="0"/>
        <w:autoSpaceDN w:val="0"/>
        <w:adjustRightInd w:val="0"/>
        <w:snapToGrid w:val="0"/>
        <w:spacing w:line="360" w:lineRule="auto"/>
        <w:ind w:left="3834" w:leftChars="1064" w:hanging="1600" w:hangingChars="500"/>
        <w:rPr>
          <w:rFonts w:ascii="仿宋_GB2312" w:eastAsia="仿宋_GB2312"/>
          <w:sz w:val="32"/>
          <w:szCs w:val="32"/>
        </w:rPr>
      </w:pPr>
      <w:r>
        <w:rPr>
          <w:rFonts w:hint="eastAsia" w:ascii="仿宋_GB2312" w:eastAsia="仿宋_GB2312"/>
          <w:sz w:val="32"/>
          <w:szCs w:val="32"/>
        </w:rPr>
        <w:t>（浙江大学医学院附属第一医院钱塘院区）二期建设工程交通影响评价</w:t>
      </w:r>
    </w:p>
    <w:p w14:paraId="193B4B61">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5BB20ED7">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79224698">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377EF3C4">
      <w:pPr>
        <w:autoSpaceDE w:val="0"/>
        <w:autoSpaceDN w:val="0"/>
        <w:adjustRightInd w:val="0"/>
        <w:snapToGrid w:val="0"/>
        <w:spacing w:line="360" w:lineRule="auto"/>
        <w:ind w:firstLine="640" w:firstLineChars="200"/>
        <w:jc w:val="right"/>
        <w:rPr>
          <w:rFonts w:ascii="仿宋_GB2312" w:eastAsia="仿宋_GB2312"/>
          <w:sz w:val="32"/>
          <w:szCs w:val="32"/>
        </w:rPr>
      </w:pPr>
    </w:p>
    <w:p w14:paraId="6AB50ED2">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35180F7D">
      <w:pPr>
        <w:rPr>
          <w:rFonts w:ascii="仿宋_GB2312" w:eastAsia="仿宋_GB2312"/>
          <w:b/>
          <w:sz w:val="32"/>
          <w:szCs w:val="32"/>
        </w:rPr>
      </w:pPr>
      <w:r>
        <w:rPr>
          <w:rFonts w:hint="eastAsia" w:ascii="仿宋_GB2312" w:eastAsia="仿宋_GB2312"/>
          <w:b/>
          <w:sz w:val="32"/>
          <w:szCs w:val="32"/>
        </w:rPr>
        <w:br w:type="page"/>
      </w:r>
    </w:p>
    <w:p w14:paraId="0651DA99">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14:paraId="64D47C42">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30E3FBBA">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214B1C03">
      <w:pPr>
        <w:autoSpaceDE w:val="0"/>
        <w:autoSpaceDN w:val="0"/>
        <w:adjustRightInd w:val="0"/>
        <w:snapToGrid w:val="0"/>
        <w:rPr>
          <w:rFonts w:ascii="仿宋_GB2312" w:hAnsi="宋体" w:eastAsia="仿宋_GB2312"/>
          <w:sz w:val="28"/>
          <w:szCs w:val="30"/>
          <w:lang w:val="zh-CN"/>
        </w:rPr>
      </w:pPr>
    </w:p>
    <w:p w14:paraId="081E2D36">
      <w:pPr>
        <w:autoSpaceDE w:val="0"/>
        <w:autoSpaceDN w:val="0"/>
        <w:adjustRightInd w:val="0"/>
        <w:snapToGrid w:val="0"/>
        <w:rPr>
          <w:rFonts w:ascii="仿宋_GB2312" w:hAnsi="宋体" w:eastAsia="仿宋_GB2312"/>
          <w:sz w:val="28"/>
          <w:szCs w:val="30"/>
          <w:lang w:val="zh-CN"/>
        </w:rPr>
      </w:pPr>
    </w:p>
    <w:p w14:paraId="3BF1797F">
      <w:pPr>
        <w:autoSpaceDE w:val="0"/>
        <w:autoSpaceDN w:val="0"/>
        <w:adjustRightInd w:val="0"/>
        <w:snapToGrid w:val="0"/>
        <w:rPr>
          <w:rFonts w:ascii="仿宋_GB2312" w:hAnsi="宋体" w:eastAsia="仿宋_GB2312"/>
          <w:sz w:val="28"/>
          <w:szCs w:val="30"/>
          <w:lang w:val="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6C54415E">
            <w:pPr>
              <w:pStyle w:val="4"/>
              <w:jc w:val="center"/>
            </w:pPr>
            <w:r>
              <w:rPr>
                <w:lang w:val="zh-CN"/>
              </w:rPr>
              <w:t xml:space="preserve"> </w:t>
            </w:r>
          </w:p>
        </w:sdtContent>
      </w:sdt>
    </w:sdtContent>
  </w:sdt>
  <w:p w14:paraId="0AF892E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F3C5">
    <w:pPr>
      <w:pStyle w:val="4"/>
      <w:jc w:val="center"/>
    </w:pPr>
  </w:p>
  <w:p w14:paraId="662AEBE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02678">
    <w:pPr>
      <w:pStyle w:val="4"/>
      <w:jc w:val="center"/>
    </w:pPr>
  </w:p>
  <w:p w14:paraId="0E06EA0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16DC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C4B057"/>
    <w:multiLevelType w:val="singleLevel"/>
    <w:tmpl w:val="50C4B05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0D51"/>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513D"/>
    <w:rsid w:val="001D5304"/>
    <w:rsid w:val="001D5C90"/>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4A6D"/>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BB9"/>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15B88"/>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47C"/>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7E9"/>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584"/>
    <w:rsid w:val="00606A24"/>
    <w:rsid w:val="00606E06"/>
    <w:rsid w:val="006071B5"/>
    <w:rsid w:val="00610159"/>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227E"/>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6C2D"/>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402C"/>
    <w:rsid w:val="00851FA5"/>
    <w:rsid w:val="00852B18"/>
    <w:rsid w:val="0085309F"/>
    <w:rsid w:val="00853B90"/>
    <w:rsid w:val="0085448E"/>
    <w:rsid w:val="0085759F"/>
    <w:rsid w:val="00860C31"/>
    <w:rsid w:val="0086121C"/>
    <w:rsid w:val="008614DF"/>
    <w:rsid w:val="008628E2"/>
    <w:rsid w:val="00863D54"/>
    <w:rsid w:val="00863F5C"/>
    <w:rsid w:val="00864679"/>
    <w:rsid w:val="00864786"/>
    <w:rsid w:val="00864F97"/>
    <w:rsid w:val="008700E1"/>
    <w:rsid w:val="00870C0D"/>
    <w:rsid w:val="00873347"/>
    <w:rsid w:val="00875FCD"/>
    <w:rsid w:val="008774AF"/>
    <w:rsid w:val="008826AC"/>
    <w:rsid w:val="0088337A"/>
    <w:rsid w:val="0088344A"/>
    <w:rsid w:val="00884653"/>
    <w:rsid w:val="00885ECB"/>
    <w:rsid w:val="0088652A"/>
    <w:rsid w:val="00890A4A"/>
    <w:rsid w:val="00890FB6"/>
    <w:rsid w:val="00892B27"/>
    <w:rsid w:val="00892F0D"/>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5F3F"/>
    <w:rsid w:val="008C7C18"/>
    <w:rsid w:val="008D104C"/>
    <w:rsid w:val="008D3BF7"/>
    <w:rsid w:val="008D3CE7"/>
    <w:rsid w:val="008D3E5D"/>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3507"/>
    <w:rsid w:val="0092414E"/>
    <w:rsid w:val="00926B7D"/>
    <w:rsid w:val="00927529"/>
    <w:rsid w:val="00927E68"/>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97B4A"/>
    <w:rsid w:val="00AA012C"/>
    <w:rsid w:val="00AA1737"/>
    <w:rsid w:val="00AA301B"/>
    <w:rsid w:val="00AB0564"/>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D7954"/>
    <w:rsid w:val="00AE0C80"/>
    <w:rsid w:val="00AE364B"/>
    <w:rsid w:val="00AE4448"/>
    <w:rsid w:val="00AE56FE"/>
    <w:rsid w:val="00AF3788"/>
    <w:rsid w:val="00AF45E7"/>
    <w:rsid w:val="00AF619B"/>
    <w:rsid w:val="00AF66B0"/>
    <w:rsid w:val="00AF6D4A"/>
    <w:rsid w:val="00AF6E34"/>
    <w:rsid w:val="00AF711E"/>
    <w:rsid w:val="00AF7D77"/>
    <w:rsid w:val="00B0015B"/>
    <w:rsid w:val="00B01B68"/>
    <w:rsid w:val="00B02506"/>
    <w:rsid w:val="00B03299"/>
    <w:rsid w:val="00B05C87"/>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2BCD"/>
    <w:rsid w:val="00B54D55"/>
    <w:rsid w:val="00B55CFD"/>
    <w:rsid w:val="00B5728B"/>
    <w:rsid w:val="00B57F58"/>
    <w:rsid w:val="00B6207A"/>
    <w:rsid w:val="00B6376F"/>
    <w:rsid w:val="00B63E1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9085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462A"/>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53F"/>
    <w:rsid w:val="00CA5600"/>
    <w:rsid w:val="00CB0E74"/>
    <w:rsid w:val="00CB258C"/>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24A4D0F"/>
    <w:rsid w:val="05867ADA"/>
    <w:rsid w:val="09A10EDC"/>
    <w:rsid w:val="12A63F62"/>
    <w:rsid w:val="141E61E5"/>
    <w:rsid w:val="1483650E"/>
    <w:rsid w:val="168F1DC9"/>
    <w:rsid w:val="19FE5F86"/>
    <w:rsid w:val="1CBC10F5"/>
    <w:rsid w:val="1F777407"/>
    <w:rsid w:val="21C92BB6"/>
    <w:rsid w:val="22A26DD5"/>
    <w:rsid w:val="27181C5B"/>
    <w:rsid w:val="28B61F81"/>
    <w:rsid w:val="2BF6514E"/>
    <w:rsid w:val="30FB3BB9"/>
    <w:rsid w:val="31E13B09"/>
    <w:rsid w:val="3F326C46"/>
    <w:rsid w:val="414803DC"/>
    <w:rsid w:val="43CA7771"/>
    <w:rsid w:val="468E2C01"/>
    <w:rsid w:val="48672BCE"/>
    <w:rsid w:val="486D04B9"/>
    <w:rsid w:val="4A196056"/>
    <w:rsid w:val="4C1861F7"/>
    <w:rsid w:val="4CB959D7"/>
    <w:rsid w:val="4CF27FA0"/>
    <w:rsid w:val="50626680"/>
    <w:rsid w:val="529A0378"/>
    <w:rsid w:val="55830FD3"/>
    <w:rsid w:val="5E4F23C3"/>
    <w:rsid w:val="694C30C1"/>
    <w:rsid w:val="6F0F2046"/>
    <w:rsid w:val="73415D45"/>
    <w:rsid w:val="7BB646AA"/>
    <w:rsid w:val="7E3811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qFormat/>
    <w:uiPriority w:val="0"/>
    <w:pPr>
      <w:ind w:left="2500" w:leftChars="2500"/>
    </w:pPr>
    <w:rPr>
      <w:sz w:val="44"/>
      <w:szCs w:val="44"/>
      <w:lang w:val="zh-CN"/>
    </w:r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spacing w:line="460" w:lineRule="exact"/>
      <w:ind w:left="200" w:hanging="200" w:hangingChars="200"/>
    </w:pPr>
    <w:rPr>
      <w:spacing w:val="12"/>
      <w:sz w:val="24"/>
      <w:szCs w:val="20"/>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5"/>
    <w:qFormat/>
    <w:uiPriority w:val="99"/>
    <w:rPr>
      <w:rFonts w:ascii="Times New Roman" w:hAnsi="Times New Roman" w:eastAsia="宋体" w:cs="Times New Roman"/>
      <w:sz w:val="18"/>
      <w:szCs w:val="18"/>
    </w:rPr>
  </w:style>
  <w:style w:type="character" w:customStyle="1" w:styleId="12">
    <w:name w:val="页脚 Char"/>
    <w:basedOn w:val="9"/>
    <w:link w:val="4"/>
    <w:qFormat/>
    <w:uiPriority w:val="99"/>
    <w:rPr>
      <w:rFonts w:ascii="Times New Roman" w:hAnsi="Times New Roman" w:eastAsia="宋体" w:cs="Times New Roman"/>
      <w:sz w:val="18"/>
      <w:szCs w:val="18"/>
    </w:rPr>
  </w:style>
  <w:style w:type="character" w:customStyle="1" w:styleId="13">
    <w:name w:val="日期 Char"/>
    <w:basedOn w:val="9"/>
    <w:link w:val="2"/>
    <w:qFormat/>
    <w:uiPriority w:val="0"/>
    <w:rPr>
      <w:rFonts w:ascii="Times New Roman" w:hAnsi="Times New Roman" w:eastAsia="宋体" w:cs="Times New Roman"/>
      <w:sz w:val="44"/>
      <w:szCs w:val="44"/>
      <w:lang w:val="zh-CN"/>
    </w:rPr>
  </w:style>
  <w:style w:type="character" w:customStyle="1" w:styleId="14">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2249</Words>
  <Characters>2340</Characters>
  <Lines>11</Lines>
  <Paragraphs>3</Paragraphs>
  <TotalTime>0</TotalTime>
  <ScaleCrop>false</ScaleCrop>
  <LinksUpToDate>false</LinksUpToDate>
  <CharactersWithSpaces>2571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2023-03-01T07:28:00Z</dcterms:created>
  <dc:creator>陈希琳</dc:creator>
  <cp:lastModifiedBy>风蓝雪夜寒</cp:lastModifiedBy>
  <cp:lastPrinted>2020-09-01T07:08:00Z</cp:lastPrinted>
  <dcterms:modified xsi:type="dcterms:W3CDTF">2025-03-10T02:42:35Z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C3EC457AA7164AA99CC41971C2688D1D</vt:lpwstr>
  </property>
  <property fmtid="{D5CDD505-2E9C-101B-9397-08002B2CF9AE}" pid="4" name="KSOTemplateDocerSaveRecord">
    <vt:lpwstr>eyJoZGlkIjoiNDVhNmFmYzBjYjZmM2Q4N2JmNmE3OWUxZjI4YmNlOTYiLCJ1c2VySWQiOiI2MzAyMzc3ODIifQ==</vt:lpwstr>
  </property>
</Properties>
</file>