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649E2">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宋体"/>
          <w:b/>
          <w:sz w:val="56"/>
          <w:szCs w:val="56"/>
          <w:lang w:val="zh-CN"/>
        </w:rPr>
      </w:pPr>
    </w:p>
    <w:p w14:paraId="0653BC24">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宋体"/>
          <w:b/>
          <w:sz w:val="56"/>
          <w:szCs w:val="56"/>
          <w:lang w:val="zh-CN"/>
        </w:rPr>
      </w:pPr>
    </w:p>
    <w:p w14:paraId="7584D9DA">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14:paraId="34013A2B">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宋体"/>
          <w:sz w:val="56"/>
          <w:szCs w:val="56"/>
          <w:lang w:val="zh-CN"/>
        </w:rPr>
      </w:pPr>
    </w:p>
    <w:p w14:paraId="5CADC137">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宋体"/>
          <w:sz w:val="56"/>
          <w:szCs w:val="56"/>
          <w:lang w:val="zh-CN"/>
        </w:rPr>
      </w:pPr>
    </w:p>
    <w:p w14:paraId="55D5C843">
      <w:pPr>
        <w:pStyle w:val="2"/>
        <w:keepNext w:val="0"/>
        <w:keepLines w:val="0"/>
        <w:pageBreakBefore w:val="0"/>
        <w:kinsoku/>
        <w:wordWrap/>
        <w:overflowPunct/>
        <w:topLinePunct w:val="0"/>
        <w:bidi w:val="0"/>
        <w:spacing w:line="560" w:lineRule="exact"/>
        <w:textAlignment w:val="auto"/>
        <w:rPr>
          <w:rFonts w:ascii="宋体"/>
          <w:sz w:val="56"/>
          <w:szCs w:val="56"/>
          <w:lang w:val="zh-CN"/>
        </w:rPr>
      </w:pPr>
    </w:p>
    <w:p w14:paraId="12541874">
      <w:pPr>
        <w:pStyle w:val="2"/>
        <w:keepNext w:val="0"/>
        <w:keepLines w:val="0"/>
        <w:pageBreakBefore w:val="0"/>
        <w:kinsoku/>
        <w:wordWrap/>
        <w:overflowPunct/>
        <w:topLinePunct w:val="0"/>
        <w:bidi w:val="0"/>
        <w:spacing w:line="560" w:lineRule="exact"/>
        <w:textAlignment w:val="auto"/>
        <w:rPr>
          <w:rFonts w:ascii="宋体"/>
          <w:sz w:val="56"/>
          <w:szCs w:val="56"/>
          <w:lang w:val="zh-CN"/>
        </w:rPr>
      </w:pPr>
    </w:p>
    <w:p w14:paraId="44801965">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宋体"/>
          <w:sz w:val="56"/>
          <w:szCs w:val="56"/>
          <w:lang w:val="zh-CN"/>
        </w:rPr>
      </w:pPr>
    </w:p>
    <w:p w14:paraId="4243C4CB">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56"/>
          <w:szCs w:val="56"/>
          <w:highlight w:val="green"/>
          <w:lang w:val="zh-CN"/>
        </w:rPr>
      </w:pPr>
      <w:r>
        <w:rPr>
          <w:rFonts w:hint="eastAsia"/>
          <w:sz w:val="56"/>
          <w:szCs w:val="56"/>
          <w:highlight w:val="none"/>
          <w:lang w:val="zh-CN"/>
        </w:rPr>
        <w:t>服务类</w:t>
      </w:r>
      <w:r>
        <w:rPr>
          <w:sz w:val="56"/>
          <w:szCs w:val="56"/>
          <w:highlight w:val="none"/>
          <w:lang w:val="zh-CN"/>
        </w:rPr>
        <w:t>项目</w:t>
      </w:r>
      <w:r>
        <w:rPr>
          <w:rFonts w:hint="eastAsia"/>
          <w:sz w:val="56"/>
          <w:szCs w:val="56"/>
          <w:highlight w:val="none"/>
          <w:lang w:val="zh-CN"/>
        </w:rPr>
        <w:t>询价</w:t>
      </w:r>
    </w:p>
    <w:p w14:paraId="0DC03FC6">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56"/>
          <w:szCs w:val="56"/>
          <w:lang w:val="zh-CN"/>
        </w:rPr>
      </w:pPr>
    </w:p>
    <w:p w14:paraId="603AE181">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56"/>
          <w:szCs w:val="56"/>
          <w:lang w:val="zh-CN"/>
        </w:rPr>
      </w:pPr>
    </w:p>
    <w:p w14:paraId="1CF68111">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56"/>
          <w:szCs w:val="56"/>
          <w:lang w:val="zh-CN"/>
        </w:rPr>
      </w:pPr>
    </w:p>
    <w:p w14:paraId="493AD7D6">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56"/>
          <w:szCs w:val="56"/>
          <w:lang w:val="zh-CN"/>
        </w:rPr>
      </w:pPr>
    </w:p>
    <w:p w14:paraId="2CFE277B">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56"/>
          <w:szCs w:val="56"/>
          <w:lang w:val="zh-CN"/>
        </w:rPr>
      </w:pPr>
    </w:p>
    <w:p w14:paraId="19F5BC4B">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56"/>
          <w:szCs w:val="56"/>
          <w:lang w:val="zh-CN"/>
        </w:rPr>
      </w:pPr>
    </w:p>
    <w:p w14:paraId="29C5A71B">
      <w:pPr>
        <w:pStyle w:val="2"/>
        <w:keepNext w:val="0"/>
        <w:keepLines w:val="0"/>
        <w:pageBreakBefore w:val="0"/>
        <w:kinsoku/>
        <w:wordWrap/>
        <w:overflowPunct/>
        <w:topLinePunct w:val="0"/>
        <w:bidi w:val="0"/>
        <w:spacing w:line="560" w:lineRule="exact"/>
        <w:textAlignment w:val="auto"/>
        <w:rPr>
          <w:sz w:val="56"/>
          <w:szCs w:val="56"/>
          <w:lang w:val="zh-CN"/>
        </w:rPr>
      </w:pPr>
    </w:p>
    <w:p w14:paraId="4224768B">
      <w:pPr>
        <w:pStyle w:val="2"/>
        <w:keepNext w:val="0"/>
        <w:keepLines w:val="0"/>
        <w:pageBreakBefore w:val="0"/>
        <w:kinsoku/>
        <w:wordWrap/>
        <w:overflowPunct/>
        <w:topLinePunct w:val="0"/>
        <w:bidi w:val="0"/>
        <w:spacing w:line="560" w:lineRule="exact"/>
        <w:textAlignment w:val="auto"/>
        <w:rPr>
          <w:sz w:val="56"/>
          <w:szCs w:val="56"/>
          <w:lang w:val="zh-CN"/>
        </w:rPr>
      </w:pPr>
    </w:p>
    <w:p w14:paraId="06AECE40">
      <w:pPr>
        <w:pStyle w:val="2"/>
        <w:keepNext w:val="0"/>
        <w:keepLines w:val="0"/>
        <w:pageBreakBefore w:val="0"/>
        <w:kinsoku/>
        <w:wordWrap/>
        <w:overflowPunct/>
        <w:topLinePunct w:val="0"/>
        <w:bidi w:val="0"/>
        <w:spacing w:line="560" w:lineRule="exact"/>
        <w:textAlignment w:val="auto"/>
        <w:rPr>
          <w:sz w:val="56"/>
          <w:szCs w:val="56"/>
          <w:lang w:val="zh-CN"/>
        </w:rPr>
      </w:pPr>
    </w:p>
    <w:p w14:paraId="7CAB689D">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hint="eastAsia" w:ascii="宋体"/>
          <w:sz w:val="40"/>
          <w:szCs w:val="56"/>
          <w:lang w:val="zh-CN"/>
        </w:rPr>
      </w:pPr>
      <w:r>
        <w:rPr>
          <w:rFonts w:hint="eastAsia" w:ascii="宋体"/>
          <w:sz w:val="40"/>
          <w:szCs w:val="56"/>
          <w:lang w:val="zh-CN"/>
        </w:rPr>
        <w:t>项目名称：浙江省公共卫生临床中心（</w:t>
      </w:r>
      <w:r>
        <w:rPr>
          <w:rFonts w:hint="eastAsia" w:ascii="宋体"/>
          <w:sz w:val="40"/>
          <w:szCs w:val="56"/>
          <w:lang w:val="zh-CN" w:eastAsia="zh-CN"/>
        </w:rPr>
        <w:t>浙江大学医学院附属第一医院钱塘院区</w:t>
      </w:r>
      <w:r>
        <w:rPr>
          <w:rFonts w:hint="eastAsia" w:ascii="宋体"/>
          <w:sz w:val="40"/>
          <w:szCs w:val="56"/>
          <w:lang w:val="zh-CN"/>
        </w:rPr>
        <w:t>）</w:t>
      </w:r>
      <w:r>
        <w:rPr>
          <w:rFonts w:hint="eastAsia" w:ascii="宋体"/>
          <w:sz w:val="40"/>
          <w:szCs w:val="56"/>
          <w:lang w:val="zh-CN" w:eastAsia="zh-CN"/>
        </w:rPr>
        <w:t>二期建设工程</w:t>
      </w:r>
    </w:p>
    <w:p w14:paraId="5613BE27">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hint="eastAsia" w:ascii="宋体"/>
          <w:sz w:val="40"/>
          <w:szCs w:val="56"/>
          <w:lang w:val="zh-CN"/>
        </w:rPr>
      </w:pPr>
      <w:r>
        <w:rPr>
          <w:rFonts w:hint="eastAsia" w:ascii="宋体"/>
          <w:sz w:val="40"/>
          <w:szCs w:val="56"/>
          <w:lang w:val="zh-CN"/>
        </w:rPr>
        <w:t>民用建筑项目节能审查和能效测评编制</w:t>
      </w:r>
    </w:p>
    <w:p w14:paraId="1289B263">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0DF17705">
      <w:pPr>
        <w:keepNext w:val="0"/>
        <w:keepLines w:val="0"/>
        <w:pageBreakBefore w:val="0"/>
        <w:kinsoku/>
        <w:wordWrap/>
        <w:overflowPunct/>
        <w:topLinePunct w:val="0"/>
        <w:autoSpaceDE w:val="0"/>
        <w:autoSpaceDN w:val="0"/>
        <w:bidi w:val="0"/>
        <w:adjustRightInd w:val="0"/>
        <w:snapToGrid w:val="0"/>
        <w:spacing w:after="156" w:afterLines="50" w:line="560" w:lineRule="exact"/>
        <w:jc w:val="center"/>
        <w:textAlignment w:val="auto"/>
        <w:rPr>
          <w:rFonts w:ascii="宋体"/>
          <w:b/>
          <w:sz w:val="44"/>
          <w:szCs w:val="56"/>
          <w:lang w:val="zh-CN"/>
        </w:rPr>
      </w:pPr>
      <w:r>
        <w:rPr>
          <w:rFonts w:hint="eastAsia" w:ascii="宋体"/>
          <w:b/>
          <w:sz w:val="44"/>
          <w:szCs w:val="56"/>
          <w:lang w:val="zh-CN"/>
        </w:rPr>
        <w:t>询价函</w:t>
      </w:r>
    </w:p>
    <w:p w14:paraId="19E84FA1">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lang w:val="zh-CN"/>
        </w:rPr>
      </w:pPr>
      <w:r>
        <w:rPr>
          <w:rFonts w:hint="eastAsia" w:ascii="仿宋_GB2312" w:eastAsia="仿宋_GB2312"/>
          <w:sz w:val="32"/>
          <w:szCs w:val="32"/>
          <w:lang w:val="zh-CN"/>
        </w:rPr>
        <w:t>根据</w:t>
      </w:r>
      <w:r>
        <w:rPr>
          <w:rFonts w:hint="eastAsia" w:ascii="仿宋_GB2312" w:eastAsia="仿宋_GB2312"/>
          <w:sz w:val="32"/>
          <w:szCs w:val="32"/>
          <w:lang w:val="en-US" w:eastAsia="zh-CN"/>
        </w:rPr>
        <w:t>有关</w:t>
      </w:r>
      <w:r>
        <w:rPr>
          <w:rFonts w:hint="eastAsia" w:ascii="仿宋_GB2312" w:eastAsia="仿宋_GB2312"/>
          <w:sz w:val="32"/>
          <w:szCs w:val="32"/>
          <w:lang w:val="zh-CN"/>
        </w:rPr>
        <w:t>法律法规及医院相关管理制度规定, 组织本次服务类项目询价。</w:t>
      </w:r>
    </w:p>
    <w:p w14:paraId="33DDA6C9">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285" w:type="pct"/>
        <w:jc w:val="center"/>
        <w:tblLayout w:type="autofit"/>
        <w:tblCellMar>
          <w:top w:w="0" w:type="dxa"/>
          <w:left w:w="108" w:type="dxa"/>
          <w:bottom w:w="0" w:type="dxa"/>
          <w:right w:w="108" w:type="dxa"/>
        </w:tblCellMar>
      </w:tblPr>
      <w:tblGrid>
        <w:gridCol w:w="856"/>
        <w:gridCol w:w="2909"/>
        <w:gridCol w:w="880"/>
        <w:gridCol w:w="2835"/>
        <w:gridCol w:w="1528"/>
      </w:tblGrid>
      <w:tr w14:paraId="5F3567CD">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3E38A1">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sz w:val="28"/>
                <w:szCs w:val="28"/>
                <w:lang w:val="zh-CN"/>
              </w:rPr>
            </w:pPr>
            <w:r>
              <w:rPr>
                <w:rFonts w:hint="eastAsia" w:ascii="仿宋_GB2312" w:eastAsia="仿宋_GB2312"/>
                <w:sz w:val="28"/>
                <w:szCs w:val="28"/>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14:paraId="73550C32">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仿宋_GB2312" w:eastAsia="仿宋_GB2312"/>
                <w:sz w:val="28"/>
                <w:szCs w:val="28"/>
                <w:lang w:val="zh-CN"/>
              </w:rPr>
            </w:pPr>
            <w:r>
              <w:rPr>
                <w:rFonts w:hint="eastAsia" w:ascii="仿宋_GB2312" w:eastAsia="仿宋_GB2312"/>
                <w:sz w:val="28"/>
                <w:szCs w:val="28"/>
                <w:lang w:val="zh-CN"/>
              </w:rPr>
              <w:t>项目名称</w:t>
            </w:r>
          </w:p>
        </w:tc>
        <w:tc>
          <w:tcPr>
            <w:tcW w:w="488" w:type="pct"/>
            <w:tcBorders>
              <w:top w:val="single" w:color="auto" w:sz="4" w:space="0"/>
              <w:left w:val="nil"/>
              <w:bottom w:val="single" w:color="auto" w:sz="4" w:space="0"/>
              <w:right w:val="single" w:color="auto" w:sz="4" w:space="0"/>
            </w:tcBorders>
            <w:shd w:val="clear" w:color="000000" w:fill="FFFFFF"/>
            <w:vAlign w:val="center"/>
          </w:tcPr>
          <w:p w14:paraId="748E6C51">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仿宋_GB2312" w:eastAsia="仿宋_GB2312"/>
                <w:sz w:val="28"/>
                <w:szCs w:val="28"/>
                <w:lang w:val="zh-CN"/>
              </w:rPr>
            </w:pPr>
            <w:r>
              <w:rPr>
                <w:rFonts w:hint="eastAsia" w:ascii="仿宋_GB2312" w:eastAsia="仿宋_GB2312"/>
                <w:sz w:val="28"/>
                <w:szCs w:val="28"/>
                <w:lang w:val="zh-CN"/>
              </w:rPr>
              <w:t>采购方式</w:t>
            </w:r>
          </w:p>
        </w:tc>
        <w:tc>
          <w:tcPr>
            <w:tcW w:w="1573" w:type="pct"/>
            <w:tcBorders>
              <w:top w:val="single" w:color="auto" w:sz="4" w:space="0"/>
              <w:left w:val="nil"/>
              <w:bottom w:val="single" w:color="auto" w:sz="4" w:space="0"/>
              <w:right w:val="single" w:color="auto" w:sz="4" w:space="0"/>
            </w:tcBorders>
            <w:shd w:val="clear" w:color="000000" w:fill="FFFFFF"/>
            <w:vAlign w:val="center"/>
          </w:tcPr>
          <w:p w14:paraId="47F31930">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ascii="仿宋_GB2312" w:eastAsia="仿宋_GB2312"/>
                <w:sz w:val="28"/>
                <w:szCs w:val="28"/>
                <w:lang w:val="zh-CN"/>
              </w:rPr>
            </w:pPr>
            <w:r>
              <w:rPr>
                <w:rFonts w:hint="eastAsia" w:ascii="仿宋_GB2312" w:eastAsia="仿宋_GB2312"/>
                <w:sz w:val="28"/>
                <w:szCs w:val="28"/>
                <w:lang w:val="zh-CN"/>
              </w:rPr>
              <w:t>服务要求</w:t>
            </w:r>
          </w:p>
        </w:tc>
        <w:tc>
          <w:tcPr>
            <w:tcW w:w="848" w:type="pct"/>
            <w:tcBorders>
              <w:top w:val="single" w:color="auto" w:sz="4" w:space="0"/>
              <w:left w:val="nil"/>
              <w:bottom w:val="single" w:color="auto" w:sz="4" w:space="0"/>
              <w:right w:val="single" w:color="auto" w:sz="4" w:space="0"/>
            </w:tcBorders>
            <w:shd w:val="clear" w:color="000000" w:fill="FFFFFF"/>
            <w:vAlign w:val="center"/>
          </w:tcPr>
          <w:p w14:paraId="1C4524A6">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hint="eastAsia" w:ascii="仿宋_GB2312" w:eastAsia="仿宋_GB2312"/>
                <w:sz w:val="28"/>
                <w:szCs w:val="28"/>
                <w:lang w:val="zh-CN"/>
              </w:rPr>
            </w:pPr>
            <w:r>
              <w:rPr>
                <w:rFonts w:hint="eastAsia" w:ascii="仿宋_GB2312" w:eastAsia="仿宋_GB2312"/>
                <w:sz w:val="28"/>
                <w:szCs w:val="28"/>
              </w:rPr>
              <w:t>最高限价（万元）</w:t>
            </w:r>
          </w:p>
        </w:tc>
      </w:tr>
      <w:tr w14:paraId="67B414CB">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554034">
            <w:pPr>
              <w:keepNext w:val="0"/>
              <w:keepLines w:val="0"/>
              <w:pageBreakBefore w:val="0"/>
              <w:kinsoku/>
              <w:wordWrap/>
              <w:overflowPunct/>
              <w:topLinePunct w:val="0"/>
              <w:autoSpaceDE w:val="0"/>
              <w:autoSpaceDN w:val="0"/>
              <w:bidi w:val="0"/>
              <w:adjustRightInd w:val="0"/>
              <w:snapToGrid w:val="0"/>
              <w:spacing w:line="560" w:lineRule="exact"/>
              <w:textAlignment w:val="auto"/>
              <w:rPr>
                <w:rFonts w:hint="eastAsia" w:ascii="仿宋_GB2312" w:hAnsi="Times New Roman" w:eastAsia="仿宋_GB2312" w:cs="Times New Roman"/>
                <w:kern w:val="2"/>
                <w:sz w:val="28"/>
                <w:szCs w:val="28"/>
                <w:lang w:val="zh-CN" w:eastAsia="zh-CN" w:bidi="ar-SA"/>
              </w:rPr>
            </w:pPr>
            <w:r>
              <w:rPr>
                <w:rFonts w:hint="eastAsia" w:ascii="仿宋_GB2312" w:eastAsia="仿宋_GB2312"/>
                <w:sz w:val="28"/>
                <w:szCs w:val="28"/>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14:paraId="0F638F92">
            <w:pPr>
              <w:keepNext w:val="0"/>
              <w:keepLines w:val="0"/>
              <w:pageBreakBefore w:val="0"/>
              <w:kinsoku/>
              <w:wordWrap/>
              <w:overflowPunct/>
              <w:topLinePunct w:val="0"/>
              <w:autoSpaceDE w:val="0"/>
              <w:autoSpaceDN w:val="0"/>
              <w:bidi w:val="0"/>
              <w:adjustRightInd w:val="0"/>
              <w:snapToGrid w:val="0"/>
              <w:spacing w:line="560" w:lineRule="exact"/>
              <w:textAlignment w:val="auto"/>
              <w:rPr>
                <w:rFonts w:hint="eastAsia" w:ascii="仿宋_GB2312" w:hAnsi="Times New Roman" w:eastAsia="仿宋_GB2312" w:cs="Times New Roman"/>
                <w:kern w:val="2"/>
                <w:sz w:val="28"/>
                <w:szCs w:val="28"/>
                <w:lang w:val="zh-CN" w:eastAsia="zh-CN" w:bidi="ar-SA"/>
              </w:rPr>
            </w:pPr>
            <w:r>
              <w:rPr>
                <w:rFonts w:hint="eastAsia" w:ascii="仿宋_GB2312" w:hAnsi="Times New Roman" w:eastAsia="仿宋_GB2312" w:cs="Times New Roman"/>
                <w:kern w:val="2"/>
                <w:sz w:val="28"/>
                <w:szCs w:val="28"/>
                <w:lang w:val="zh-CN" w:eastAsia="zh-CN" w:bidi="ar-SA"/>
              </w:rPr>
              <w:t>浙江省公共卫生临床中心（浙江大学医学院附属第一医院钱塘院区）二期建设工程民用建筑项目节能审查和能效测评编制</w:t>
            </w:r>
          </w:p>
        </w:tc>
        <w:tc>
          <w:tcPr>
            <w:tcW w:w="488" w:type="pct"/>
            <w:tcBorders>
              <w:top w:val="single" w:color="auto" w:sz="4" w:space="0"/>
              <w:left w:val="nil"/>
              <w:bottom w:val="single" w:color="auto" w:sz="4" w:space="0"/>
              <w:right w:val="single" w:color="auto" w:sz="4" w:space="0"/>
            </w:tcBorders>
            <w:shd w:val="clear" w:color="000000" w:fill="FFFFFF"/>
            <w:vAlign w:val="center"/>
          </w:tcPr>
          <w:p w14:paraId="2E42FE53">
            <w:pPr>
              <w:keepNext w:val="0"/>
              <w:keepLines w:val="0"/>
              <w:pageBreakBefore w:val="0"/>
              <w:kinsoku/>
              <w:wordWrap/>
              <w:overflowPunct/>
              <w:topLinePunct w:val="0"/>
              <w:autoSpaceDE w:val="0"/>
              <w:autoSpaceDN w:val="0"/>
              <w:bidi w:val="0"/>
              <w:adjustRightInd w:val="0"/>
              <w:snapToGrid w:val="0"/>
              <w:spacing w:line="560" w:lineRule="exact"/>
              <w:textAlignment w:val="auto"/>
              <w:rPr>
                <w:rFonts w:hint="eastAsia" w:ascii="仿宋_GB2312" w:eastAsia="仿宋_GB2312"/>
                <w:sz w:val="28"/>
                <w:szCs w:val="28"/>
                <w:lang w:val="zh-CN"/>
              </w:rPr>
            </w:pPr>
            <w:r>
              <w:rPr>
                <w:rFonts w:hint="eastAsia" w:ascii="仿宋_GB2312" w:eastAsia="仿宋_GB2312"/>
                <w:sz w:val="28"/>
                <w:szCs w:val="28"/>
                <w:lang w:val="zh-CN"/>
              </w:rPr>
              <w:t>院内询价</w:t>
            </w:r>
          </w:p>
        </w:tc>
        <w:tc>
          <w:tcPr>
            <w:tcW w:w="1573" w:type="pct"/>
            <w:tcBorders>
              <w:top w:val="single" w:color="auto" w:sz="4" w:space="0"/>
              <w:left w:val="nil"/>
              <w:bottom w:val="single" w:color="auto" w:sz="4" w:space="0"/>
              <w:right w:val="single" w:color="auto" w:sz="4" w:space="0"/>
            </w:tcBorders>
            <w:shd w:val="clear" w:color="000000" w:fill="FFFFFF"/>
            <w:vAlign w:val="center"/>
          </w:tcPr>
          <w:p w14:paraId="2EB0D700">
            <w:pPr>
              <w:keepNext w:val="0"/>
              <w:keepLines w:val="0"/>
              <w:pageBreakBefore w:val="0"/>
              <w:kinsoku/>
              <w:wordWrap/>
              <w:overflowPunct/>
              <w:topLinePunct w:val="0"/>
              <w:autoSpaceDE w:val="0"/>
              <w:autoSpaceDN w:val="0"/>
              <w:bidi w:val="0"/>
              <w:adjustRightInd w:val="0"/>
              <w:snapToGrid w:val="0"/>
              <w:spacing w:line="560" w:lineRule="exact"/>
              <w:textAlignment w:val="auto"/>
              <w:rPr>
                <w:rFonts w:hint="eastAsia"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钱塘区</w:t>
            </w:r>
          </w:p>
          <w:p w14:paraId="682B55EA">
            <w:pPr>
              <w:keepNext w:val="0"/>
              <w:keepLines w:val="0"/>
              <w:pageBreakBefore w:val="0"/>
              <w:kinsoku/>
              <w:wordWrap/>
              <w:overflowPunct/>
              <w:topLinePunct w:val="0"/>
              <w:autoSpaceDE w:val="0"/>
              <w:autoSpaceDN w:val="0"/>
              <w:bidi w:val="0"/>
              <w:adjustRightInd w:val="0"/>
              <w:snapToGrid w:val="0"/>
              <w:spacing w:line="560" w:lineRule="exact"/>
              <w:textAlignment w:val="auto"/>
              <w:rPr>
                <w:rFonts w:hint="eastAsia" w:ascii="仿宋_GB2312" w:eastAsia="仿宋_GB2312"/>
                <w:sz w:val="28"/>
                <w:szCs w:val="28"/>
                <w:lang w:val="zh-CN"/>
              </w:rPr>
            </w:pPr>
            <w:r>
              <w:rPr>
                <w:rFonts w:hint="eastAsia" w:ascii="仿宋_GB2312" w:eastAsia="仿宋_GB2312"/>
                <w:sz w:val="28"/>
                <w:szCs w:val="28"/>
                <w:lang w:val="zh-CN"/>
              </w:rPr>
              <w:t>内容：</w:t>
            </w:r>
            <w:r>
              <w:rPr>
                <w:rFonts w:hint="eastAsia" w:ascii="仿宋_GB2312" w:hAnsi="Times New Roman" w:eastAsia="仿宋_GB2312" w:cs="Times New Roman"/>
                <w:kern w:val="2"/>
                <w:sz w:val="28"/>
                <w:szCs w:val="28"/>
                <w:lang w:val="zh-CN" w:eastAsia="zh-CN" w:bidi="ar-SA"/>
              </w:rPr>
              <w:t>民用建筑项目节能审查和能效测评编制</w:t>
            </w:r>
            <w:r>
              <w:rPr>
                <w:rFonts w:hint="eastAsia" w:ascii="仿宋_GB2312" w:eastAsia="仿宋_GB2312"/>
                <w:sz w:val="28"/>
                <w:szCs w:val="28"/>
                <w:lang w:val="zh-CN"/>
              </w:rPr>
              <w:t>。</w:t>
            </w:r>
          </w:p>
        </w:tc>
        <w:tc>
          <w:tcPr>
            <w:tcW w:w="848" w:type="pct"/>
            <w:tcBorders>
              <w:top w:val="single" w:color="auto" w:sz="4" w:space="0"/>
              <w:left w:val="nil"/>
              <w:bottom w:val="single" w:color="auto" w:sz="4" w:space="0"/>
              <w:right w:val="single" w:color="auto" w:sz="4" w:space="0"/>
            </w:tcBorders>
            <w:shd w:val="clear" w:color="000000" w:fill="FFFFFF"/>
            <w:vAlign w:val="center"/>
          </w:tcPr>
          <w:p w14:paraId="49F12895">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hint="eastAsia" w:ascii="仿宋_GB2312" w:eastAsia="仿宋_GB2312"/>
                <w:sz w:val="28"/>
                <w:szCs w:val="28"/>
                <w:lang w:val="zh-CN"/>
              </w:rPr>
            </w:pPr>
            <w:r>
              <w:rPr>
                <w:rFonts w:hint="eastAsia" w:ascii="仿宋_GB2312" w:eastAsia="仿宋_GB2312"/>
                <w:sz w:val="28"/>
                <w:szCs w:val="28"/>
                <w:highlight w:val="none"/>
                <w:lang w:val="en-US" w:eastAsia="zh-CN"/>
              </w:rPr>
              <w:t>7</w:t>
            </w:r>
          </w:p>
        </w:tc>
      </w:tr>
    </w:tbl>
    <w:p w14:paraId="3FAC65F6">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14:paraId="58C25CD6">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3" w:firstLineChars="200"/>
        <w:jc w:val="both"/>
        <w:textAlignment w:val="auto"/>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（一）项目基本概况</w:t>
      </w:r>
    </w:p>
    <w:p w14:paraId="12CCDFAF">
      <w:pPr>
        <w:keepNext w:val="0"/>
        <w:keepLines w:val="0"/>
        <w:pageBreakBefore w:val="0"/>
        <w:kinsoku/>
        <w:wordWrap/>
        <w:overflowPunct/>
        <w:topLinePunct w:val="0"/>
        <w:bidi w:val="0"/>
        <w:spacing w:line="560" w:lineRule="exact"/>
        <w:ind w:firstLine="640" w:firstLineChars="200"/>
        <w:textAlignment w:val="auto"/>
        <w:rPr>
          <w:rFonts w:hint="eastAsia"/>
          <w:sz w:val="32"/>
          <w:szCs w:val="32"/>
          <w:lang w:val="en-US" w:eastAsia="zh-CN"/>
        </w:rPr>
      </w:pPr>
      <w:r>
        <w:rPr>
          <w:rFonts w:hint="eastAsia" w:ascii="仿宋" w:hAnsi="仿宋" w:eastAsia="仿宋" w:cs="Times New Roman"/>
          <w:sz w:val="32"/>
          <w:szCs w:val="32"/>
          <w:lang w:eastAsia="zh-Hans"/>
        </w:rPr>
        <w:t>项目建设用地面积约6.19公顷（折合92.8亩），其中新增建设用地面积5.89公顷（折合88.3亩），具体以杭州市规划和自然资源局钱塘分局提供红线为准。</w:t>
      </w:r>
      <w:r>
        <w:rPr>
          <w:rFonts w:hint="eastAsia" w:ascii="仿宋" w:hAnsi="仿宋" w:eastAsia="仿宋" w:cs="Times New Roman"/>
          <w:sz w:val="32"/>
          <w:szCs w:val="32"/>
          <w:lang w:val="en-US" w:eastAsia="zh-CN"/>
        </w:rPr>
        <w:t>项目</w:t>
      </w:r>
      <w:r>
        <w:rPr>
          <w:rFonts w:hint="eastAsia" w:ascii="仿宋" w:hAnsi="仿宋" w:eastAsia="仿宋" w:cs="Times New Roman"/>
          <w:sz w:val="32"/>
          <w:szCs w:val="32"/>
          <w:lang w:eastAsia="zh-Hans"/>
        </w:rPr>
        <w:t>规划布局洗消中心及医护配套功能区两大功能，总建筑面积54500平方米</w:t>
      </w:r>
      <w:r>
        <w:rPr>
          <w:rFonts w:hint="eastAsia" w:ascii="仿宋" w:hAnsi="仿宋" w:eastAsia="仿宋" w:cs="Times New Roman"/>
          <w:sz w:val="32"/>
          <w:szCs w:val="32"/>
          <w:lang w:eastAsia="zh-CN"/>
        </w:rPr>
        <w:t>，</w:t>
      </w:r>
      <w:r>
        <w:rPr>
          <w:rFonts w:hint="eastAsia" w:ascii="仿宋" w:hAnsi="仿宋" w:eastAsia="仿宋" w:cs="Times New Roman"/>
          <w:sz w:val="32"/>
          <w:szCs w:val="32"/>
          <w:rtl w:val="0"/>
          <w:lang w:val="zh-TW" w:eastAsia="zh-TW"/>
        </w:rPr>
        <w:t>总投资为54500万元。</w:t>
      </w:r>
    </w:p>
    <w:p w14:paraId="27B1033D">
      <w:pPr>
        <w:keepNext w:val="0"/>
        <w:keepLines w:val="0"/>
        <w:pageBreakBefore w:val="0"/>
        <w:numPr>
          <w:ilvl w:val="0"/>
          <w:numId w:val="1"/>
        </w:numPr>
        <w:kinsoku/>
        <w:wordWrap/>
        <w:overflowPunct/>
        <w:topLinePunct w:val="0"/>
        <w:autoSpaceDE w:val="0"/>
        <w:autoSpaceDN w:val="0"/>
        <w:bidi w:val="0"/>
        <w:adjustRightInd w:val="0"/>
        <w:snapToGrid w:val="0"/>
        <w:spacing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服务范围及内容：</w:t>
      </w:r>
    </w:p>
    <w:p w14:paraId="33C38D6B">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1、按时完成《节能评估报告》和《浙江省民用建筑项目竣工能效测评报告》的编制工作。</w:t>
      </w:r>
    </w:p>
    <w:p w14:paraId="721B9AB3">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应按民用建筑节能相关的法律、法规、规章和技术规范、节能标准对建设单位提供的民用建筑项目设计方案的科学性、合理性进行分析和评估，提出提高能源利用效率、降低能源消耗的对策和措施，编制节能评估文件，并对提供的节能评估文件的真实性和有效性负责；编制竣工能效测评报告，并负责上传至主管部门的相应网站。</w:t>
      </w:r>
    </w:p>
    <w:p w14:paraId="1AA87245">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3、参与当地建设主管部门组织的专家评审会，负责会议对《节能评估报告》编制情况的介绍，解释工作。编制的评估报告上报并通过当地建设主管部门的审查。</w:t>
      </w:r>
    </w:p>
    <w:p w14:paraId="023B098F">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（三）服务质量要求：</w:t>
      </w:r>
    </w:p>
    <w:p w14:paraId="26B70E85">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仿宋_GB2312" w:eastAsia="仿宋_GB2312"/>
          <w:sz w:val="32"/>
          <w:szCs w:val="32"/>
          <w:lang w:val="zh-CN" w:eastAsia="zh-CN"/>
        </w:rPr>
      </w:pPr>
      <w:r>
        <w:rPr>
          <w:rFonts w:hint="eastAsia" w:ascii="仿宋_GB2312" w:eastAsia="仿宋_GB2312"/>
          <w:sz w:val="32"/>
          <w:szCs w:val="32"/>
          <w:lang w:val="en-US" w:eastAsia="zh-CN"/>
        </w:rPr>
        <w:t>1、</w:t>
      </w:r>
      <w:r>
        <w:rPr>
          <w:rFonts w:hint="eastAsia" w:ascii="仿宋_GB2312" w:eastAsia="仿宋_GB2312"/>
          <w:sz w:val="32"/>
          <w:szCs w:val="32"/>
        </w:rPr>
        <w:t>完成的节能评估及咨询报告中的节能方法和措施，应得到</w:t>
      </w:r>
      <w:r>
        <w:rPr>
          <w:rFonts w:hint="eastAsia" w:ascii="仿宋_GB2312" w:eastAsia="仿宋_GB2312"/>
          <w:sz w:val="32"/>
          <w:szCs w:val="32"/>
          <w:lang w:eastAsia="zh-CN"/>
        </w:rPr>
        <w:t>建设单位</w:t>
      </w:r>
      <w:r>
        <w:rPr>
          <w:rFonts w:hint="eastAsia" w:ascii="仿宋_GB2312" w:eastAsia="仿宋_GB2312"/>
          <w:sz w:val="32"/>
          <w:szCs w:val="32"/>
        </w:rPr>
        <w:t>和设计单位的认可。完成的能效测评及咨询报告中的节能方法和措施，应符合项目的实际情况且得到</w:t>
      </w:r>
      <w:r>
        <w:rPr>
          <w:rFonts w:hint="eastAsia" w:ascii="仿宋_GB2312" w:eastAsia="仿宋_GB2312"/>
          <w:sz w:val="32"/>
          <w:szCs w:val="32"/>
          <w:lang w:eastAsia="zh-CN"/>
        </w:rPr>
        <w:t>建设单位</w:t>
      </w:r>
      <w:r>
        <w:rPr>
          <w:rFonts w:hint="eastAsia" w:ascii="仿宋_GB2312" w:eastAsia="仿宋_GB2312"/>
          <w:sz w:val="32"/>
          <w:szCs w:val="32"/>
        </w:rPr>
        <w:t>和施工单位的认可。</w:t>
      </w:r>
    </w:p>
    <w:p w14:paraId="3AEC86BA">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仿宋_GB2312" w:eastAsia="仿宋_GB2312"/>
          <w:sz w:val="32"/>
          <w:szCs w:val="32"/>
          <w:lang w:val="zh-CN" w:eastAsia="zh-CN"/>
        </w:rPr>
      </w:pPr>
      <w:r>
        <w:rPr>
          <w:rFonts w:hint="eastAsia" w:ascii="仿宋_GB2312" w:eastAsia="仿宋_GB2312"/>
          <w:sz w:val="32"/>
          <w:szCs w:val="32"/>
          <w:lang w:val="en-US" w:eastAsia="zh-CN"/>
        </w:rPr>
        <w:t>2、</w:t>
      </w:r>
      <w:r>
        <w:rPr>
          <w:rFonts w:hint="eastAsia" w:ascii="仿宋_GB2312" w:eastAsia="仿宋_GB2312"/>
          <w:sz w:val="32"/>
          <w:szCs w:val="32"/>
        </w:rPr>
        <w:t>满足国家、行业及地方标准，尤其是《民用建筑项目节能评估技术导则》和《浙江省民用建筑项目竣工能效测评技术导则》的具体要求</w:t>
      </w:r>
      <w:r>
        <w:rPr>
          <w:rFonts w:hint="eastAsia" w:ascii="仿宋_GB2312" w:eastAsia="仿宋_GB2312"/>
          <w:sz w:val="32"/>
          <w:szCs w:val="32"/>
          <w:lang w:eastAsia="zh-CN"/>
        </w:rPr>
        <w:t>，</w:t>
      </w:r>
      <w:r>
        <w:rPr>
          <w:rFonts w:hint="eastAsia" w:ascii="仿宋_GB2312" w:eastAsia="仿宋_GB2312"/>
          <w:sz w:val="32"/>
          <w:szCs w:val="32"/>
        </w:rPr>
        <w:t>内容和深度满足审批部门有关要求</w:t>
      </w:r>
      <w:r>
        <w:rPr>
          <w:rFonts w:hint="eastAsia" w:ascii="仿宋_GB2312" w:eastAsia="仿宋_GB2312"/>
          <w:sz w:val="32"/>
          <w:szCs w:val="32"/>
          <w:lang w:val="zh-CN" w:eastAsia="zh-CN"/>
        </w:rPr>
        <w:t>。</w:t>
      </w:r>
    </w:p>
    <w:p w14:paraId="3AB43362">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（四）服务期</w:t>
      </w:r>
    </w:p>
    <w:p w14:paraId="5F01F841">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仿宋_GB2312" w:eastAsia="仿宋_GB2312"/>
          <w:sz w:val="32"/>
          <w:szCs w:val="32"/>
          <w:lang w:val="zh-CN" w:eastAsia="zh-CN"/>
        </w:rPr>
      </w:pPr>
      <w:r>
        <w:rPr>
          <w:rFonts w:hint="eastAsia" w:ascii="仿宋_GB2312" w:eastAsia="仿宋_GB2312"/>
          <w:sz w:val="32"/>
          <w:szCs w:val="32"/>
          <w:lang w:val="en-US" w:eastAsia="zh-CN"/>
        </w:rPr>
        <w:t>服务</w:t>
      </w:r>
      <w:r>
        <w:rPr>
          <w:rFonts w:hint="eastAsia" w:ascii="仿宋_GB2312" w:eastAsia="仿宋_GB2312"/>
          <w:sz w:val="32"/>
          <w:szCs w:val="32"/>
          <w:lang w:val="zh-CN" w:eastAsia="zh-CN"/>
        </w:rPr>
        <w:t>期为合同签订后至</w:t>
      </w:r>
      <w:r>
        <w:rPr>
          <w:rFonts w:hint="eastAsia" w:ascii="仿宋_GB2312" w:eastAsia="仿宋_GB2312"/>
          <w:sz w:val="32"/>
          <w:szCs w:val="32"/>
        </w:rPr>
        <w:t>项目建议书</w:t>
      </w:r>
      <w:r>
        <w:rPr>
          <w:rFonts w:hint="eastAsia" w:ascii="仿宋_GB2312" w:eastAsia="仿宋_GB2312"/>
          <w:sz w:val="32"/>
          <w:szCs w:val="32"/>
          <w:lang w:val="en-US" w:eastAsia="zh-CN"/>
        </w:rPr>
        <w:t>所有工作内容完成之日</w:t>
      </w:r>
      <w:r>
        <w:rPr>
          <w:rFonts w:hint="eastAsia" w:ascii="仿宋_GB2312" w:eastAsia="仿宋_GB2312"/>
          <w:sz w:val="32"/>
          <w:szCs w:val="32"/>
          <w:lang w:val="zh-CN" w:eastAsia="zh-CN"/>
        </w:rPr>
        <w:t>止，</w:t>
      </w:r>
      <w:r>
        <w:rPr>
          <w:rFonts w:hint="eastAsia" w:ascii="仿宋_GB2312" w:eastAsia="仿宋_GB2312"/>
          <w:sz w:val="32"/>
          <w:szCs w:val="32"/>
          <w:lang w:val="en-US" w:eastAsia="zh-CN"/>
        </w:rPr>
        <w:t>具体的时间节点需满足项目的总体进度计划和医院的具体要求。</w:t>
      </w:r>
    </w:p>
    <w:p w14:paraId="292109B1">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（五）报价要求</w:t>
      </w:r>
    </w:p>
    <w:p w14:paraId="57A23C0B">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hint="default"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1、本项目的报价上限</w:t>
      </w:r>
      <w:r>
        <w:rPr>
          <w:rFonts w:hint="eastAsia" w:ascii="仿宋" w:hAnsi="仿宋" w:eastAsia="仿宋" w:cs="仿宋"/>
          <w:color w:val="000000"/>
          <w:kern w:val="0"/>
          <w:sz w:val="32"/>
          <w:szCs w:val="32"/>
          <w:highlight w:val="none"/>
          <w:lang w:val="en-US" w:eastAsia="zh-CN" w:bidi="ar"/>
        </w:rPr>
        <w:t>为7万元，超过7万元的报</w:t>
      </w:r>
      <w:r>
        <w:rPr>
          <w:rFonts w:hint="eastAsia" w:ascii="仿宋" w:hAnsi="仿宋" w:eastAsia="仿宋" w:cs="仿宋"/>
          <w:color w:val="000000"/>
          <w:kern w:val="0"/>
          <w:sz w:val="32"/>
          <w:szCs w:val="32"/>
          <w:lang w:val="en-US" w:eastAsia="zh-CN" w:bidi="ar"/>
        </w:rPr>
        <w:t>价将被拒绝。</w:t>
      </w:r>
    </w:p>
    <w:p w14:paraId="63F70054">
      <w:pPr>
        <w:keepNext w:val="0"/>
        <w:keepLines w:val="0"/>
        <w:pageBreakBefore w:val="0"/>
        <w:widowControl/>
        <w:kinsoku/>
        <w:wordWrap/>
        <w:overflowPunct/>
        <w:topLinePunct w:val="0"/>
        <w:bidi w:val="0"/>
        <w:spacing w:line="560" w:lineRule="exact"/>
        <w:ind w:firstLine="640" w:firstLineChars="200"/>
        <w:jc w:val="left"/>
        <w:textAlignment w:val="auto"/>
        <w:rPr>
          <w:rFonts w:ascii="仿宋" w:hAnsi="仿宋" w:eastAsia="仿宋" w:cs="仿宋"/>
          <w:color w:val="000000"/>
          <w:kern w:val="0"/>
          <w:sz w:val="32"/>
          <w:szCs w:val="32"/>
          <w:lang w:bidi="ar"/>
        </w:rPr>
      </w:pPr>
      <w:r>
        <w:rPr>
          <w:rFonts w:hint="eastAsia" w:ascii="仿宋" w:hAnsi="仿宋" w:eastAsia="仿宋" w:cs="仿宋"/>
          <w:color w:val="000000"/>
          <w:kern w:val="0"/>
          <w:sz w:val="32"/>
          <w:szCs w:val="32"/>
          <w:lang w:val="en-US" w:eastAsia="zh-CN" w:bidi="ar"/>
        </w:rPr>
        <w:t>2、</w:t>
      </w:r>
      <w:r>
        <w:rPr>
          <w:rFonts w:hint="eastAsia" w:ascii="仿宋" w:hAnsi="仿宋" w:eastAsia="仿宋" w:cs="仿宋"/>
          <w:color w:val="000000"/>
          <w:kern w:val="0"/>
          <w:sz w:val="32"/>
          <w:szCs w:val="32"/>
          <w:lang w:val="zh-CN" w:eastAsia="zh-CN" w:bidi="ar"/>
        </w:rPr>
        <w:t>供应商应考虑企业自身实力、经验及项目实施过程中的各种因素，根据询价要求，详细说明所能提供的各项具体服务内容，自主</w:t>
      </w:r>
      <w:r>
        <w:rPr>
          <w:rFonts w:hint="eastAsia" w:ascii="仿宋" w:hAnsi="仿宋" w:eastAsia="仿宋" w:cs="仿宋"/>
          <w:color w:val="000000"/>
          <w:kern w:val="0"/>
          <w:sz w:val="32"/>
          <w:szCs w:val="32"/>
          <w:lang w:bidi="ar"/>
        </w:rPr>
        <w:t>确定报价，本项目实施总价包干，上述总价不受服务期的延长、项目规模及投资金额变化而调整。</w:t>
      </w:r>
    </w:p>
    <w:p w14:paraId="0290832F">
      <w:pPr>
        <w:keepNext w:val="0"/>
        <w:keepLines w:val="0"/>
        <w:pageBreakBefore w:val="0"/>
        <w:numPr>
          <w:ilvl w:val="0"/>
          <w:numId w:val="0"/>
        </w:numPr>
        <w:kinsoku/>
        <w:wordWrap/>
        <w:overflowPunct/>
        <w:topLinePunct w:val="0"/>
        <w:autoSpaceDE w:val="0"/>
        <w:autoSpaceDN w:val="0"/>
        <w:bidi w:val="0"/>
        <w:adjustRightInd w:val="0"/>
        <w:snapToGrid w:val="0"/>
        <w:spacing w:line="560" w:lineRule="exact"/>
        <w:ind w:firstLine="643" w:firstLineChars="200"/>
        <w:jc w:val="both"/>
        <w:textAlignment w:val="auto"/>
        <w:rPr>
          <w:rFonts w:hint="default" w:ascii="仿宋_GB2312" w:eastAsia="仿宋_GB2312"/>
          <w:sz w:val="32"/>
          <w:szCs w:val="32"/>
          <w:lang w:val="en-US" w:eastAsia="zh-CN"/>
        </w:rPr>
      </w:pPr>
      <w:r>
        <w:rPr>
          <w:rFonts w:hint="eastAsia" w:ascii="仿宋_GB2312" w:eastAsia="仿宋_GB2312"/>
          <w:b/>
          <w:bCs/>
          <w:sz w:val="32"/>
          <w:szCs w:val="32"/>
          <w:lang w:val="en-US" w:eastAsia="zh-CN"/>
        </w:rPr>
        <w:t>（七）款项支付：</w:t>
      </w:r>
      <w:r>
        <w:rPr>
          <w:rFonts w:hint="eastAsia" w:ascii="仿宋_GB2312" w:eastAsia="仿宋_GB2312"/>
          <w:sz w:val="32"/>
          <w:szCs w:val="32"/>
          <w:lang w:val="en-US" w:eastAsia="zh-CN"/>
        </w:rPr>
        <w:t>（具体以合同签订时约定为准）</w:t>
      </w:r>
    </w:p>
    <w:p w14:paraId="2851BE68">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费用中已包括：咨询费、节能评估文件编制费、能效测评报告编制费、技术配合费、差旅费、食宿费、通讯费、打印费、印刷、复印费、应向政府部门缴纳的税费等所需全部费用。建设单位无须在咨询费用之外再支付其他任何费用。</w:t>
      </w:r>
    </w:p>
    <w:p w14:paraId="5777FD8A">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hint="eastAsia" w:ascii="仿宋" w:hAnsi="仿宋" w:eastAsia="仿宋" w:cs="仿宋"/>
          <w:color w:val="000000"/>
          <w:spacing w:val="0"/>
          <w:kern w:val="0"/>
          <w:sz w:val="32"/>
          <w:szCs w:val="32"/>
          <w:highlight w:val="none"/>
          <w:lang w:val="en-US" w:eastAsia="zh-CN" w:bidi="ar"/>
        </w:rPr>
      </w:pPr>
      <w:r>
        <w:rPr>
          <w:rFonts w:hint="eastAsia" w:ascii="仿宋" w:hAnsi="仿宋" w:eastAsia="仿宋" w:cs="仿宋"/>
          <w:color w:val="000000"/>
          <w:spacing w:val="0"/>
          <w:kern w:val="0"/>
          <w:sz w:val="32"/>
          <w:szCs w:val="32"/>
          <w:lang w:val="en-US" w:eastAsia="zh-CN" w:bidi="ar"/>
        </w:rPr>
        <w:t>2、在建设单位拿到相关建设主管部门为本项目颁发的节能审查意见书后，提交的付款申请及普通增值税发票后30</w:t>
      </w:r>
      <w:r>
        <w:rPr>
          <w:rFonts w:hint="eastAsia" w:ascii="仿宋" w:hAnsi="仿宋" w:eastAsia="仿宋" w:cs="仿宋"/>
          <w:color w:val="000000"/>
          <w:spacing w:val="0"/>
          <w:kern w:val="0"/>
          <w:sz w:val="32"/>
          <w:szCs w:val="32"/>
          <w:highlight w:val="none"/>
          <w:lang w:val="en-US" w:eastAsia="zh-CN" w:bidi="ar"/>
        </w:rPr>
        <w:t xml:space="preserve">个工作日内日支付，支付金额为人民币（大写） </w:t>
      </w:r>
      <w:r>
        <w:rPr>
          <w:rFonts w:hint="eastAsia" w:ascii="仿宋" w:hAnsi="仿宋" w:eastAsia="仿宋" w:cs="仿宋"/>
          <w:color w:val="000000"/>
          <w:spacing w:val="0"/>
          <w:kern w:val="0"/>
          <w:sz w:val="32"/>
          <w:szCs w:val="32"/>
          <w:highlight w:val="none"/>
          <w:u w:val="single"/>
          <w:lang w:val="en-US" w:eastAsia="zh-CN" w:bidi="ar"/>
        </w:rPr>
        <w:t xml:space="preserve">     </w:t>
      </w:r>
      <w:r>
        <w:rPr>
          <w:rFonts w:hint="eastAsia" w:ascii="仿宋" w:hAnsi="仿宋" w:eastAsia="仿宋" w:cs="仿宋"/>
          <w:color w:val="000000"/>
          <w:spacing w:val="0"/>
          <w:kern w:val="0"/>
          <w:sz w:val="32"/>
          <w:szCs w:val="32"/>
          <w:highlight w:val="none"/>
          <w:lang w:val="en-US" w:eastAsia="zh-CN" w:bidi="ar"/>
        </w:rPr>
        <w:t xml:space="preserve"> ，小写</w:t>
      </w:r>
      <w:r>
        <w:rPr>
          <w:rFonts w:hint="eastAsia" w:ascii="仿宋" w:hAnsi="仿宋" w:eastAsia="仿宋" w:cs="仿宋"/>
          <w:color w:val="000000"/>
          <w:spacing w:val="0"/>
          <w:kern w:val="0"/>
          <w:sz w:val="32"/>
          <w:szCs w:val="32"/>
          <w:highlight w:val="none"/>
          <w:u w:val="single"/>
          <w:lang w:val="en-US" w:eastAsia="zh-CN" w:bidi="ar"/>
        </w:rPr>
        <w:t xml:space="preserve">      </w:t>
      </w:r>
      <w:r>
        <w:rPr>
          <w:rFonts w:hint="eastAsia" w:ascii="仿宋" w:hAnsi="仿宋" w:eastAsia="仿宋" w:cs="仿宋"/>
          <w:color w:val="000000"/>
          <w:spacing w:val="0"/>
          <w:kern w:val="0"/>
          <w:sz w:val="32"/>
          <w:szCs w:val="32"/>
          <w:highlight w:val="none"/>
          <w:lang w:val="en-US" w:eastAsia="zh-CN" w:bidi="ar"/>
        </w:rPr>
        <w:t>元。</w:t>
      </w:r>
    </w:p>
    <w:p w14:paraId="0AD6DDEC">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hint="default"/>
          <w:sz w:val="32"/>
          <w:szCs w:val="32"/>
          <w:lang w:val="en-US" w:eastAsia="zh-CN"/>
        </w:rPr>
      </w:pPr>
      <w:r>
        <w:rPr>
          <w:rFonts w:hint="eastAsia" w:ascii="仿宋" w:hAnsi="仿宋" w:eastAsia="仿宋" w:cs="仿宋"/>
          <w:color w:val="000000"/>
          <w:spacing w:val="0"/>
          <w:kern w:val="0"/>
          <w:sz w:val="32"/>
          <w:szCs w:val="32"/>
          <w:highlight w:val="none"/>
          <w:lang w:val="en-US" w:eastAsia="zh-CN" w:bidi="ar"/>
        </w:rPr>
        <w:t xml:space="preserve">3、在建设单位拿到相关建设主管部门为本项目颁发的竣工验收备案通知书后，提交的付款申请及普通增值税发票后30个工作日内日支付，支付金额为人民币（大写） </w:t>
      </w:r>
      <w:r>
        <w:rPr>
          <w:rFonts w:hint="eastAsia" w:ascii="仿宋" w:hAnsi="仿宋" w:eastAsia="仿宋" w:cs="仿宋"/>
          <w:color w:val="000000"/>
          <w:spacing w:val="0"/>
          <w:kern w:val="0"/>
          <w:sz w:val="32"/>
          <w:szCs w:val="32"/>
          <w:highlight w:val="none"/>
          <w:u w:val="single"/>
          <w:lang w:val="en-US" w:eastAsia="zh-CN" w:bidi="ar"/>
        </w:rPr>
        <w:t xml:space="preserve">     </w:t>
      </w:r>
      <w:r>
        <w:rPr>
          <w:rFonts w:hint="eastAsia" w:ascii="仿宋" w:hAnsi="仿宋" w:eastAsia="仿宋" w:cs="仿宋"/>
          <w:color w:val="000000"/>
          <w:spacing w:val="0"/>
          <w:kern w:val="0"/>
          <w:sz w:val="32"/>
          <w:szCs w:val="32"/>
          <w:highlight w:val="none"/>
          <w:lang w:val="en-US" w:eastAsia="zh-CN" w:bidi="ar"/>
        </w:rPr>
        <w:t xml:space="preserve"> ，小写</w:t>
      </w:r>
      <w:r>
        <w:rPr>
          <w:rFonts w:hint="eastAsia" w:ascii="仿宋" w:hAnsi="仿宋" w:eastAsia="仿宋" w:cs="仿宋"/>
          <w:color w:val="000000"/>
          <w:spacing w:val="0"/>
          <w:kern w:val="0"/>
          <w:sz w:val="32"/>
          <w:szCs w:val="32"/>
          <w:highlight w:val="none"/>
          <w:u w:val="single"/>
          <w:lang w:val="en-US" w:eastAsia="zh-CN" w:bidi="ar"/>
        </w:rPr>
        <w:t xml:space="preserve">      </w:t>
      </w:r>
      <w:r>
        <w:rPr>
          <w:rFonts w:hint="eastAsia" w:ascii="仿宋" w:hAnsi="仿宋" w:eastAsia="仿宋" w:cs="仿宋"/>
          <w:color w:val="000000"/>
          <w:spacing w:val="0"/>
          <w:kern w:val="0"/>
          <w:sz w:val="32"/>
          <w:szCs w:val="32"/>
          <w:highlight w:val="none"/>
          <w:lang w:val="en-US" w:eastAsia="zh-CN" w:bidi="ar"/>
        </w:rPr>
        <w:t>元</w:t>
      </w:r>
      <w:r>
        <w:rPr>
          <w:rFonts w:hint="eastAsia" w:ascii="仿宋" w:hAnsi="仿宋" w:eastAsia="仿宋" w:cs="仿宋"/>
          <w:color w:val="000000"/>
          <w:spacing w:val="0"/>
          <w:kern w:val="0"/>
          <w:sz w:val="32"/>
          <w:szCs w:val="32"/>
          <w:lang w:val="en-US" w:eastAsia="zh-CN" w:bidi="ar"/>
        </w:rPr>
        <w:t>。</w:t>
      </w:r>
    </w:p>
    <w:p w14:paraId="4EE9DF47">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三</w:t>
      </w:r>
      <w:r>
        <w:rPr>
          <w:rFonts w:ascii="仿宋_GB2312" w:hAnsi="Times New Roman" w:eastAsia="仿宋_GB2312" w:cs="Times New Roman"/>
          <w:b/>
          <w:sz w:val="32"/>
          <w:szCs w:val="32"/>
        </w:rPr>
        <w:t>、询价事宜</w:t>
      </w:r>
    </w:p>
    <w:p w14:paraId="006A81D0">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rPr>
        <w:t>1、询价时间：202</w:t>
      </w:r>
      <w:r>
        <w:rPr>
          <w:rFonts w:hint="eastAsia" w:ascii="仿宋_GB2312" w:eastAsia="仿宋_GB2312" w:cs="Times New Roman"/>
          <w:color w:val="auto"/>
          <w:sz w:val="32"/>
          <w:szCs w:val="32"/>
          <w:lang w:val="en-US" w:eastAsia="zh-CN"/>
        </w:rPr>
        <w:t>5</w:t>
      </w:r>
      <w:r>
        <w:rPr>
          <w:rFonts w:hint="eastAsia" w:ascii="仿宋_GB2312" w:hAnsi="Times New Roman" w:eastAsia="仿宋_GB2312" w:cs="Times New Roman"/>
          <w:color w:val="auto"/>
          <w:sz w:val="32"/>
          <w:szCs w:val="32"/>
        </w:rPr>
        <w:t>年</w:t>
      </w:r>
      <w:r>
        <w:rPr>
          <w:rFonts w:hint="eastAsia" w:ascii="仿宋_GB2312" w:eastAsia="仿宋_GB2312" w:cs="Times New Roman"/>
          <w:color w:val="auto"/>
          <w:sz w:val="32"/>
          <w:szCs w:val="32"/>
          <w:lang w:val="en-US" w:eastAsia="zh-CN"/>
        </w:rPr>
        <w:t>3</w:t>
      </w:r>
      <w:r>
        <w:rPr>
          <w:rFonts w:hint="eastAsia" w:ascii="仿宋_GB2312" w:hAnsi="Times New Roman" w:eastAsia="仿宋_GB2312" w:cs="Times New Roman"/>
          <w:color w:val="auto"/>
          <w:sz w:val="32"/>
          <w:szCs w:val="32"/>
          <w:highlight w:val="none"/>
        </w:rPr>
        <w:t>月</w:t>
      </w:r>
      <w:r>
        <w:rPr>
          <w:rFonts w:hint="eastAsia" w:ascii="仿宋_GB2312" w:eastAsia="仿宋_GB2312" w:cs="Times New Roman"/>
          <w:color w:val="auto"/>
          <w:sz w:val="32"/>
          <w:szCs w:val="32"/>
          <w:highlight w:val="none"/>
          <w:lang w:val="en-US" w:eastAsia="zh-CN"/>
        </w:rPr>
        <w:t>14</w:t>
      </w:r>
      <w:r>
        <w:rPr>
          <w:rFonts w:hint="eastAsia" w:ascii="仿宋_GB2312" w:hAnsi="Times New Roman" w:eastAsia="仿宋_GB2312" w:cs="Times New Roman"/>
          <w:color w:val="auto"/>
          <w:sz w:val="32"/>
          <w:szCs w:val="32"/>
          <w:highlight w:val="none"/>
        </w:rPr>
        <w:t xml:space="preserve">日下午13:30（请于13:15提前到场签到）    </w:t>
      </w:r>
    </w:p>
    <w:p w14:paraId="0CA7150F">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2、询价地址：杭州市庆春路79号浙大一院1号楼9层会议室（餐厅旁）</w:t>
      </w:r>
    </w:p>
    <w:p w14:paraId="06C14CCA">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rPr>
      </w:pPr>
      <w:r>
        <w:rPr>
          <w:rFonts w:ascii="仿宋_GB2312" w:hAnsi="Times New Roman" w:eastAsia="仿宋_GB2312" w:cs="Times New Roman"/>
          <w:sz w:val="32"/>
          <w:szCs w:val="32"/>
        </w:rPr>
        <w:t>3</w:t>
      </w:r>
      <w:r>
        <w:rPr>
          <w:rFonts w:hint="eastAsia" w:ascii="仿宋_GB2312" w:hAnsi="Times New Roman" w:eastAsia="仿宋_GB2312" w:cs="Times New Roman"/>
          <w:sz w:val="32"/>
          <w:szCs w:val="32"/>
        </w:rPr>
        <w:t>、询价文件一式</w:t>
      </w:r>
      <w:r>
        <w:rPr>
          <w:rFonts w:hint="eastAsia" w:ascii="仿宋_GB2312" w:eastAsia="仿宋_GB2312" w:cs="Times New Roman"/>
          <w:sz w:val="32"/>
          <w:szCs w:val="32"/>
          <w:lang w:val="en-US" w:eastAsia="zh-CN"/>
        </w:rPr>
        <w:t>四</w:t>
      </w:r>
      <w:r>
        <w:rPr>
          <w:rFonts w:hint="eastAsia" w:ascii="仿宋_GB2312" w:hAnsi="Times New Roman" w:eastAsia="仿宋_GB2312" w:cs="Times New Roman"/>
          <w:sz w:val="32"/>
          <w:szCs w:val="32"/>
        </w:rPr>
        <w:t>份</w:t>
      </w:r>
    </w:p>
    <w:p w14:paraId="5F196882">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4、联系</w:t>
      </w:r>
      <w:r>
        <w:rPr>
          <w:rFonts w:ascii="仿宋_GB2312" w:hAnsi="Times New Roman" w:eastAsia="仿宋_GB2312" w:cs="Times New Roman"/>
          <w:sz w:val="32"/>
          <w:szCs w:val="32"/>
        </w:rPr>
        <w:t>电话：</w:t>
      </w:r>
      <w:r>
        <w:rPr>
          <w:rFonts w:hint="eastAsia" w:ascii="仿宋_GB2312" w:hAnsi="Times New Roman" w:eastAsia="仿宋_GB2312" w:cs="Times New Roman"/>
          <w:sz w:val="32"/>
          <w:szCs w:val="32"/>
        </w:rPr>
        <w:t>0571-872369</w:t>
      </w:r>
      <w:r>
        <w:rPr>
          <w:rFonts w:hint="eastAsia" w:ascii="仿宋_GB2312" w:eastAsia="仿宋_GB2312" w:cs="Times New Roman"/>
          <w:sz w:val="32"/>
          <w:szCs w:val="32"/>
          <w:lang w:val="en-US" w:eastAsia="zh-CN"/>
        </w:rPr>
        <w:t>09</w:t>
      </w:r>
      <w:bookmarkStart w:id="0" w:name="_GoBack"/>
      <w:bookmarkEnd w:id="0"/>
    </w:p>
    <w:p w14:paraId="63E5B99B">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sz w:val="32"/>
          <w:szCs w:val="32"/>
        </w:rPr>
      </w:pPr>
    </w:p>
    <w:p w14:paraId="57CA1A32">
      <w:pPr>
        <w:keepNext w:val="0"/>
        <w:keepLines w:val="0"/>
        <w:pageBreakBefore w:val="0"/>
        <w:kinsoku/>
        <w:wordWrap/>
        <w:overflowPunct/>
        <w:topLinePunct w:val="0"/>
        <w:autoSpaceDE w:val="0"/>
        <w:autoSpaceDN w:val="0"/>
        <w:bidi w:val="0"/>
        <w:adjustRightInd w:val="0"/>
        <w:snapToGrid w:val="0"/>
        <w:spacing w:line="56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14:paraId="16C281BF">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p>
    <w:p w14:paraId="0231C3F0">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p>
    <w:p w14:paraId="51388854">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14:paraId="6C123864">
      <w:pPr>
        <w:keepNext w:val="0"/>
        <w:keepLines w:val="0"/>
        <w:pageBreakBefore w:val="0"/>
        <w:kinsoku/>
        <w:wordWrap/>
        <w:overflowPunct/>
        <w:topLinePunct w:val="0"/>
        <w:autoSpaceDE w:val="0"/>
        <w:autoSpaceDN w:val="0"/>
        <w:bidi w:val="0"/>
        <w:adjustRightInd w:val="0"/>
        <w:snapToGrid w:val="0"/>
        <w:spacing w:line="560" w:lineRule="exact"/>
        <w:ind w:right="-313" w:rightChars="-149"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14:paraId="7EC86FC0">
      <w:pPr>
        <w:keepNext w:val="0"/>
        <w:keepLines w:val="0"/>
        <w:pageBreakBefore w:val="0"/>
        <w:kinsoku/>
        <w:wordWrap/>
        <w:overflowPunct/>
        <w:topLinePunct w:val="0"/>
        <w:autoSpaceDE w:val="0"/>
        <w:autoSpaceDN w:val="0"/>
        <w:bidi w:val="0"/>
        <w:adjustRightInd w:val="0"/>
        <w:snapToGrid w:val="0"/>
        <w:spacing w:line="560" w:lineRule="exact"/>
        <w:ind w:right="-313" w:rightChars="-149"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0471C64F">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14:paraId="7B206443">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w:t>
      </w:r>
      <w:r>
        <w:rPr>
          <w:rFonts w:hint="eastAsia" w:ascii="仿宋_GB2312" w:hAnsi="仿宋_GB2312" w:eastAsia="仿宋_GB2312" w:cs="仿宋_GB2312"/>
          <w:sz w:val="32"/>
          <w:szCs w:val="32"/>
          <w:lang w:val="en-US" w:eastAsia="zh-CN"/>
        </w:rPr>
        <w:t>件</w:t>
      </w:r>
    </w:p>
    <w:p w14:paraId="3FA1293A">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14:paraId="70DDBD64">
      <w:pPr>
        <w:keepNext w:val="0"/>
        <w:keepLines w:val="0"/>
        <w:pageBreakBefore w:val="0"/>
        <w:kinsoku/>
        <w:wordWrap/>
        <w:overflowPunct/>
        <w:topLinePunct w:val="0"/>
        <w:bidi w:val="0"/>
        <w:spacing w:line="560" w:lineRule="exact"/>
        <w:jc w:val="center"/>
        <w:textAlignment w:val="auto"/>
        <w:rPr>
          <w:rFonts w:ascii="仿宋_GB2312" w:hAnsi="宋体" w:eastAsia="仿宋_GB2312"/>
          <w:b/>
          <w:sz w:val="32"/>
          <w:szCs w:val="32"/>
        </w:rPr>
      </w:pPr>
      <w:r>
        <w:rPr>
          <w:rFonts w:hint="eastAsia" w:ascii="仿宋_GB2312" w:hAnsi="宋体" w:eastAsia="仿宋_GB2312"/>
          <w:b/>
          <w:sz w:val="32"/>
          <w:szCs w:val="32"/>
        </w:rPr>
        <w:t>询价函</w:t>
      </w:r>
    </w:p>
    <w:p w14:paraId="5249A2A6">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24A0005A">
      <w:pPr>
        <w:keepNext w:val="0"/>
        <w:keepLines w:val="0"/>
        <w:pageBreakBefore w:val="0"/>
        <w:kinsoku/>
        <w:wordWrap/>
        <w:overflowPunct/>
        <w:topLinePunct w:val="0"/>
        <w:bidi w:val="0"/>
        <w:spacing w:line="560" w:lineRule="exact"/>
        <w:ind w:firstLine="480"/>
        <w:textAlignment w:val="auto"/>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w:t>
      </w:r>
    </w:p>
    <w:p w14:paraId="720C6E63">
      <w:pPr>
        <w:pStyle w:val="3"/>
        <w:keepNext w:val="0"/>
        <w:keepLines w:val="0"/>
        <w:pageBreakBefore w:val="0"/>
        <w:kinsoku/>
        <w:wordWrap/>
        <w:overflowPunct/>
        <w:topLinePunct w:val="0"/>
        <w:bidi w:val="0"/>
        <w:spacing w:line="560" w:lineRule="exact"/>
        <w:ind w:left="0" w:leftChars="0"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eastAsia="zh-CN"/>
        </w:rPr>
        <w:t>法律</w:t>
      </w:r>
      <w:r>
        <w:rPr>
          <w:rFonts w:hint="eastAsia" w:ascii="仿宋_GB2312" w:hAnsi="宋体" w:eastAsia="仿宋_GB2312"/>
          <w:sz w:val="32"/>
          <w:szCs w:val="32"/>
        </w:rPr>
        <w:t>法规及</w:t>
      </w:r>
      <w:r>
        <w:rPr>
          <w:rFonts w:hint="eastAsia" w:ascii="仿宋_GB2312" w:hAnsi="宋体" w:eastAsia="仿宋_GB2312"/>
          <w:sz w:val="32"/>
          <w:szCs w:val="32"/>
          <w:lang w:val="en-US" w:eastAsia="zh-CN"/>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，对</w:t>
      </w:r>
      <w:r>
        <w:rPr>
          <w:rFonts w:hint="eastAsia" w:ascii="仿宋_GB2312" w:hAnsi="宋体" w:eastAsia="仿宋_GB2312"/>
          <w:sz w:val="32"/>
          <w:szCs w:val="32"/>
          <w:lang w:val="en-US" w:eastAsia="zh-CN"/>
        </w:rPr>
        <w:t>定标</w:t>
      </w:r>
      <w:r>
        <w:rPr>
          <w:rFonts w:hint="eastAsia" w:ascii="仿宋_GB2312" w:hAnsi="宋体" w:eastAsia="仿宋_GB2312"/>
          <w:sz w:val="32"/>
          <w:szCs w:val="32"/>
        </w:rPr>
        <w:t>结果也没有解释义务。</w:t>
      </w:r>
    </w:p>
    <w:p w14:paraId="4D975C83">
      <w:pPr>
        <w:keepNext w:val="0"/>
        <w:keepLines w:val="0"/>
        <w:pageBreakBefore w:val="0"/>
        <w:kinsoku/>
        <w:wordWrap/>
        <w:overflowPunct/>
        <w:topLinePunct w:val="0"/>
        <w:bidi w:val="0"/>
        <w:spacing w:line="560" w:lineRule="exact"/>
        <w:ind w:firstLine="640" w:firstLineChars="200"/>
        <w:textAlignment w:val="auto"/>
        <w:rPr>
          <w:rFonts w:ascii="仿宋_GB2312" w:hAnsi="宋体" w:eastAsia="仿宋_GB2312"/>
          <w:sz w:val="32"/>
          <w:szCs w:val="32"/>
        </w:rPr>
      </w:pPr>
    </w:p>
    <w:p w14:paraId="078B8A5C">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p>
    <w:p w14:paraId="5DA85173">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 xml:space="preserve">单位（公章）：                 </w:t>
      </w:r>
    </w:p>
    <w:p w14:paraId="2D2C99C4">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法定代表或委托代理人（签字）：</w:t>
      </w:r>
    </w:p>
    <w:p w14:paraId="23DF2C18">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联系地址：</w:t>
      </w:r>
    </w:p>
    <w:p w14:paraId="3E06CEA9">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电话：                       邮编：</w:t>
      </w:r>
    </w:p>
    <w:p w14:paraId="3FCEA6D4">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开户银行：                   帐号：</w:t>
      </w:r>
    </w:p>
    <w:p w14:paraId="35ED272C">
      <w:pPr>
        <w:keepNext w:val="0"/>
        <w:keepLines w:val="0"/>
        <w:pageBreakBefore w:val="0"/>
        <w:kinsoku/>
        <w:wordWrap/>
        <w:overflowPunct/>
        <w:topLinePunct w:val="0"/>
        <w:bidi w:val="0"/>
        <w:spacing w:line="560" w:lineRule="exact"/>
        <w:jc w:val="right"/>
        <w:textAlignment w:val="auto"/>
        <w:rPr>
          <w:rFonts w:ascii="仿宋_GB2312" w:hAnsi="宋体" w:eastAsia="仿宋_GB2312"/>
          <w:sz w:val="32"/>
          <w:szCs w:val="32"/>
        </w:rPr>
      </w:pPr>
      <w:r>
        <w:rPr>
          <w:rFonts w:hint="eastAsia" w:ascii="仿宋_GB2312" w:hAnsi="宋体" w:eastAsia="仿宋_GB2312"/>
          <w:sz w:val="32"/>
          <w:szCs w:val="32"/>
        </w:rPr>
        <w:t>年     月    日</w:t>
      </w:r>
    </w:p>
    <w:p w14:paraId="242F89F0">
      <w:pPr>
        <w:keepNext w:val="0"/>
        <w:keepLines w:val="0"/>
        <w:pageBreakBefore w:val="0"/>
        <w:kinsoku/>
        <w:wordWrap/>
        <w:overflowPunct/>
        <w:topLinePunct w:val="0"/>
        <w:bidi w:val="0"/>
        <w:spacing w:line="560" w:lineRule="exact"/>
        <w:jc w:val="center"/>
        <w:textAlignment w:val="auto"/>
        <w:rPr>
          <w:sz w:val="28"/>
          <w:szCs w:val="28"/>
        </w:rPr>
      </w:pPr>
    </w:p>
    <w:p w14:paraId="15458490">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p>
    <w:p w14:paraId="596AA534">
      <w:pPr>
        <w:keepNext w:val="0"/>
        <w:keepLines w:val="0"/>
        <w:pageBreakBefore w:val="0"/>
        <w:widowControl/>
        <w:kinsoku/>
        <w:wordWrap/>
        <w:overflowPunct/>
        <w:topLinePunct w:val="0"/>
        <w:bidi w:val="0"/>
        <w:spacing w:line="560" w:lineRule="exact"/>
        <w:jc w:val="left"/>
        <w:textAlignment w:val="auto"/>
        <w:rPr>
          <w:rFonts w:ascii="仿宋_GB2312" w:eastAsia="仿宋_GB2312"/>
          <w:b/>
          <w:sz w:val="32"/>
          <w:szCs w:val="32"/>
        </w:rPr>
      </w:pPr>
      <w:r>
        <w:rPr>
          <w:rFonts w:ascii="仿宋_GB2312" w:eastAsia="仿宋_GB2312"/>
          <w:b/>
          <w:sz w:val="32"/>
          <w:szCs w:val="32"/>
        </w:rPr>
        <w:br w:type="page"/>
      </w:r>
    </w:p>
    <w:p w14:paraId="1A6132E1">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r>
        <w:rPr>
          <w:rFonts w:hint="eastAsia" w:ascii="仿宋_GB2312" w:eastAsia="仿宋_GB2312"/>
          <w:b/>
          <w:sz w:val="32"/>
          <w:szCs w:val="32"/>
        </w:rPr>
        <w:t>附件2：报价明细</w:t>
      </w:r>
    </w:p>
    <w:p w14:paraId="43C5D7E2">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14:paraId="1F55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noWrap w:val="0"/>
            <w:vAlign w:val="center"/>
          </w:tcPr>
          <w:p w14:paraId="28F8E550">
            <w:pPr>
              <w:keepNext w:val="0"/>
              <w:keepLines w:val="0"/>
              <w:pageBreakBefore w:val="0"/>
              <w:widowControl/>
              <w:kinsoku/>
              <w:wordWrap/>
              <w:overflowPunct/>
              <w:topLinePunct w:val="0"/>
              <w:bidi w:val="0"/>
              <w:spacing w:line="560" w:lineRule="exact"/>
              <w:jc w:val="left"/>
              <w:textAlignment w:val="auto"/>
              <w:rPr>
                <w:rFonts w:hint="eastAsia"/>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noWrap w:val="0"/>
            <w:vAlign w:val="center"/>
          </w:tcPr>
          <w:p w14:paraId="7065DB97">
            <w:pPr>
              <w:keepNext w:val="0"/>
              <w:keepLines w:val="0"/>
              <w:pageBreakBefore w:val="0"/>
              <w:kinsoku/>
              <w:wordWrap/>
              <w:overflowPunct/>
              <w:topLinePunct w:val="0"/>
              <w:bidi w:val="0"/>
              <w:spacing w:line="560" w:lineRule="exact"/>
              <w:jc w:val="center"/>
              <w:textAlignment w:val="auto"/>
              <w:rPr>
                <w:rFonts w:hint="eastAsia"/>
                <w:sz w:val="24"/>
              </w:rPr>
            </w:pPr>
            <w:r>
              <w:rPr>
                <w:rFonts w:hint="eastAsia"/>
                <w:sz w:val="24"/>
              </w:rPr>
              <w:t>费 用 名 称</w:t>
            </w:r>
          </w:p>
        </w:tc>
        <w:tc>
          <w:tcPr>
            <w:tcW w:w="796" w:type="dxa"/>
            <w:tcBorders>
              <w:top w:val="single" w:color="auto" w:sz="12" w:space="0"/>
              <w:bottom w:val="single" w:color="auto" w:sz="12" w:space="0"/>
            </w:tcBorders>
            <w:noWrap w:val="0"/>
            <w:vAlign w:val="center"/>
          </w:tcPr>
          <w:p w14:paraId="32A9E7C5">
            <w:pPr>
              <w:keepNext w:val="0"/>
              <w:keepLines w:val="0"/>
              <w:pageBreakBefore w:val="0"/>
              <w:kinsoku/>
              <w:wordWrap/>
              <w:overflowPunct/>
              <w:topLinePunct w:val="0"/>
              <w:bidi w:val="0"/>
              <w:spacing w:line="560" w:lineRule="exact"/>
              <w:jc w:val="center"/>
              <w:textAlignment w:val="auto"/>
              <w:rPr>
                <w:rFonts w:hint="eastAsia"/>
                <w:sz w:val="24"/>
              </w:rPr>
            </w:pPr>
            <w:r>
              <w:rPr>
                <w:rFonts w:hint="eastAsia"/>
                <w:sz w:val="24"/>
              </w:rPr>
              <w:t>单位</w:t>
            </w:r>
          </w:p>
        </w:tc>
        <w:tc>
          <w:tcPr>
            <w:tcW w:w="1920" w:type="dxa"/>
            <w:tcBorders>
              <w:top w:val="single" w:color="auto" w:sz="12" w:space="0"/>
              <w:bottom w:val="single" w:color="auto" w:sz="12" w:space="0"/>
            </w:tcBorders>
            <w:noWrap w:val="0"/>
            <w:vAlign w:val="center"/>
          </w:tcPr>
          <w:p w14:paraId="6BFDC761">
            <w:pPr>
              <w:keepNext w:val="0"/>
              <w:keepLines w:val="0"/>
              <w:pageBreakBefore w:val="0"/>
              <w:kinsoku/>
              <w:wordWrap/>
              <w:overflowPunct/>
              <w:topLinePunct w:val="0"/>
              <w:bidi w:val="0"/>
              <w:spacing w:line="560" w:lineRule="exact"/>
              <w:jc w:val="center"/>
              <w:textAlignment w:val="auto"/>
              <w:rPr>
                <w:rFonts w:hint="eastAsia"/>
                <w:sz w:val="24"/>
              </w:rPr>
            </w:pPr>
            <w:r>
              <w:rPr>
                <w:rFonts w:hint="eastAsia"/>
                <w:sz w:val="24"/>
              </w:rPr>
              <w:t>计 算 依 据</w:t>
            </w:r>
          </w:p>
        </w:tc>
        <w:tc>
          <w:tcPr>
            <w:tcW w:w="1390" w:type="dxa"/>
            <w:tcBorders>
              <w:top w:val="single" w:color="auto" w:sz="12" w:space="0"/>
              <w:bottom w:val="single" w:color="auto" w:sz="12" w:space="0"/>
            </w:tcBorders>
            <w:noWrap w:val="0"/>
            <w:vAlign w:val="center"/>
          </w:tcPr>
          <w:p w14:paraId="48BA6AD8">
            <w:pPr>
              <w:keepNext w:val="0"/>
              <w:keepLines w:val="0"/>
              <w:pageBreakBefore w:val="0"/>
              <w:kinsoku/>
              <w:wordWrap/>
              <w:overflowPunct/>
              <w:topLinePunct w:val="0"/>
              <w:bidi w:val="0"/>
              <w:spacing w:line="560" w:lineRule="exact"/>
              <w:textAlignment w:val="auto"/>
              <w:rPr>
                <w:rFonts w:hint="eastAsia"/>
                <w:sz w:val="24"/>
              </w:rPr>
            </w:pPr>
            <w:r>
              <w:rPr>
                <w:rFonts w:hint="eastAsia"/>
                <w:sz w:val="24"/>
              </w:rPr>
              <w:t>单  价</w:t>
            </w:r>
          </w:p>
          <w:p w14:paraId="5787AAF3">
            <w:pPr>
              <w:keepNext w:val="0"/>
              <w:keepLines w:val="0"/>
              <w:pageBreakBefore w:val="0"/>
              <w:kinsoku/>
              <w:wordWrap/>
              <w:overflowPunct/>
              <w:topLinePunct w:val="0"/>
              <w:bidi w:val="0"/>
              <w:spacing w:line="560" w:lineRule="exact"/>
              <w:textAlignment w:val="auto"/>
              <w:rPr>
                <w:rFonts w:hint="eastAsia"/>
                <w:sz w:val="24"/>
              </w:rPr>
            </w:pPr>
            <w:r>
              <w:rPr>
                <w:rFonts w:hint="eastAsia"/>
                <w:sz w:val="24"/>
              </w:rPr>
              <w:t>（元）</w:t>
            </w:r>
          </w:p>
        </w:tc>
        <w:tc>
          <w:tcPr>
            <w:tcW w:w="1091" w:type="dxa"/>
            <w:tcBorders>
              <w:top w:val="single" w:color="auto" w:sz="12" w:space="0"/>
              <w:bottom w:val="single" w:color="auto" w:sz="12" w:space="0"/>
            </w:tcBorders>
            <w:noWrap w:val="0"/>
            <w:vAlign w:val="center"/>
          </w:tcPr>
          <w:p w14:paraId="199CC687">
            <w:pPr>
              <w:keepNext w:val="0"/>
              <w:keepLines w:val="0"/>
              <w:pageBreakBefore w:val="0"/>
              <w:kinsoku/>
              <w:wordWrap/>
              <w:overflowPunct/>
              <w:topLinePunct w:val="0"/>
              <w:bidi w:val="0"/>
              <w:spacing w:line="560" w:lineRule="exact"/>
              <w:jc w:val="center"/>
              <w:textAlignment w:val="auto"/>
              <w:rPr>
                <w:rFonts w:hint="eastAsia"/>
                <w:sz w:val="24"/>
              </w:rPr>
            </w:pPr>
            <w:r>
              <w:rPr>
                <w:rFonts w:hint="eastAsia"/>
                <w:sz w:val="24"/>
              </w:rPr>
              <w:t>数 量</w:t>
            </w:r>
          </w:p>
        </w:tc>
        <w:tc>
          <w:tcPr>
            <w:tcW w:w="1392" w:type="dxa"/>
            <w:tcBorders>
              <w:top w:val="single" w:color="auto" w:sz="12" w:space="0"/>
              <w:bottom w:val="single" w:color="auto" w:sz="12" w:space="0"/>
              <w:right w:val="single" w:color="auto" w:sz="12" w:space="0"/>
            </w:tcBorders>
            <w:noWrap w:val="0"/>
            <w:vAlign w:val="center"/>
          </w:tcPr>
          <w:p w14:paraId="6EE83BC2">
            <w:pPr>
              <w:keepNext w:val="0"/>
              <w:keepLines w:val="0"/>
              <w:pageBreakBefore w:val="0"/>
              <w:kinsoku/>
              <w:wordWrap/>
              <w:overflowPunct/>
              <w:topLinePunct w:val="0"/>
              <w:bidi w:val="0"/>
              <w:spacing w:line="560" w:lineRule="exact"/>
              <w:jc w:val="center"/>
              <w:textAlignment w:val="auto"/>
              <w:rPr>
                <w:rFonts w:hint="eastAsia"/>
                <w:sz w:val="24"/>
              </w:rPr>
            </w:pPr>
            <w:r>
              <w:rPr>
                <w:rFonts w:hint="eastAsia"/>
                <w:sz w:val="24"/>
              </w:rPr>
              <w:t>合  价</w:t>
            </w:r>
          </w:p>
          <w:p w14:paraId="0C1E16C6">
            <w:pPr>
              <w:keepNext w:val="0"/>
              <w:keepLines w:val="0"/>
              <w:pageBreakBefore w:val="0"/>
              <w:kinsoku/>
              <w:wordWrap/>
              <w:overflowPunct/>
              <w:topLinePunct w:val="0"/>
              <w:bidi w:val="0"/>
              <w:spacing w:line="560" w:lineRule="exact"/>
              <w:jc w:val="center"/>
              <w:textAlignment w:val="auto"/>
              <w:rPr>
                <w:rFonts w:hint="eastAsia"/>
                <w:sz w:val="24"/>
              </w:rPr>
            </w:pPr>
            <w:r>
              <w:rPr>
                <w:rFonts w:hint="eastAsia"/>
                <w:sz w:val="24"/>
              </w:rPr>
              <w:t>（元）</w:t>
            </w:r>
          </w:p>
        </w:tc>
      </w:tr>
      <w:tr w14:paraId="6EAA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noWrap w:val="0"/>
            <w:vAlign w:val="center"/>
          </w:tcPr>
          <w:p w14:paraId="6BDA26EF">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1</w:t>
            </w:r>
          </w:p>
        </w:tc>
        <w:tc>
          <w:tcPr>
            <w:tcW w:w="1653" w:type="dxa"/>
            <w:tcBorders>
              <w:top w:val="single" w:color="auto" w:sz="12" w:space="0"/>
            </w:tcBorders>
            <w:noWrap w:val="0"/>
            <w:vAlign w:val="center"/>
          </w:tcPr>
          <w:p w14:paraId="5A803D04">
            <w:pPr>
              <w:keepNext w:val="0"/>
              <w:keepLines w:val="0"/>
              <w:pageBreakBefore w:val="0"/>
              <w:kinsoku/>
              <w:wordWrap/>
              <w:overflowPunct/>
              <w:topLinePunct w:val="0"/>
              <w:bidi w:val="0"/>
              <w:spacing w:line="560" w:lineRule="exact"/>
              <w:jc w:val="left"/>
              <w:textAlignment w:val="auto"/>
              <w:rPr>
                <w:rFonts w:hint="eastAsia"/>
                <w:sz w:val="24"/>
              </w:rPr>
            </w:pPr>
          </w:p>
        </w:tc>
        <w:tc>
          <w:tcPr>
            <w:tcW w:w="796" w:type="dxa"/>
            <w:tcBorders>
              <w:top w:val="single" w:color="auto" w:sz="12" w:space="0"/>
            </w:tcBorders>
            <w:noWrap w:val="0"/>
            <w:vAlign w:val="center"/>
          </w:tcPr>
          <w:p w14:paraId="644B33F2">
            <w:pPr>
              <w:keepNext w:val="0"/>
              <w:keepLines w:val="0"/>
              <w:pageBreakBefore w:val="0"/>
              <w:kinsoku/>
              <w:wordWrap/>
              <w:overflowPunct/>
              <w:topLinePunct w:val="0"/>
              <w:bidi w:val="0"/>
              <w:spacing w:line="560" w:lineRule="exact"/>
              <w:jc w:val="left"/>
              <w:textAlignment w:val="auto"/>
              <w:rPr>
                <w:rFonts w:hint="eastAsia"/>
                <w:sz w:val="24"/>
              </w:rPr>
            </w:pPr>
          </w:p>
        </w:tc>
        <w:tc>
          <w:tcPr>
            <w:tcW w:w="1920" w:type="dxa"/>
            <w:tcBorders>
              <w:top w:val="single" w:color="auto" w:sz="12" w:space="0"/>
            </w:tcBorders>
            <w:noWrap w:val="0"/>
            <w:vAlign w:val="center"/>
          </w:tcPr>
          <w:p w14:paraId="6529F8D1">
            <w:pPr>
              <w:keepNext w:val="0"/>
              <w:keepLines w:val="0"/>
              <w:pageBreakBefore w:val="0"/>
              <w:kinsoku/>
              <w:wordWrap/>
              <w:overflowPunct/>
              <w:topLinePunct w:val="0"/>
              <w:bidi w:val="0"/>
              <w:spacing w:line="560" w:lineRule="exact"/>
              <w:jc w:val="left"/>
              <w:textAlignment w:val="auto"/>
              <w:rPr>
                <w:rFonts w:hint="eastAsia"/>
                <w:sz w:val="24"/>
              </w:rPr>
            </w:pPr>
          </w:p>
        </w:tc>
        <w:tc>
          <w:tcPr>
            <w:tcW w:w="1390" w:type="dxa"/>
            <w:tcBorders>
              <w:top w:val="single" w:color="auto" w:sz="12" w:space="0"/>
            </w:tcBorders>
            <w:noWrap w:val="0"/>
            <w:vAlign w:val="center"/>
          </w:tcPr>
          <w:p w14:paraId="4C7B04C1">
            <w:pPr>
              <w:keepNext w:val="0"/>
              <w:keepLines w:val="0"/>
              <w:pageBreakBefore w:val="0"/>
              <w:kinsoku/>
              <w:wordWrap/>
              <w:overflowPunct/>
              <w:topLinePunct w:val="0"/>
              <w:bidi w:val="0"/>
              <w:spacing w:line="560" w:lineRule="exact"/>
              <w:jc w:val="left"/>
              <w:textAlignment w:val="auto"/>
              <w:rPr>
                <w:rFonts w:hint="eastAsia"/>
                <w:sz w:val="24"/>
              </w:rPr>
            </w:pPr>
          </w:p>
        </w:tc>
        <w:tc>
          <w:tcPr>
            <w:tcW w:w="1091" w:type="dxa"/>
            <w:tcBorders>
              <w:top w:val="single" w:color="auto" w:sz="12" w:space="0"/>
            </w:tcBorders>
            <w:noWrap w:val="0"/>
            <w:vAlign w:val="center"/>
          </w:tcPr>
          <w:p w14:paraId="3686647C">
            <w:pPr>
              <w:keepNext w:val="0"/>
              <w:keepLines w:val="0"/>
              <w:pageBreakBefore w:val="0"/>
              <w:kinsoku/>
              <w:wordWrap/>
              <w:overflowPunct/>
              <w:topLinePunct w:val="0"/>
              <w:bidi w:val="0"/>
              <w:spacing w:line="560" w:lineRule="exact"/>
              <w:jc w:val="left"/>
              <w:textAlignment w:val="auto"/>
              <w:rPr>
                <w:rFonts w:hint="eastAsia"/>
                <w:sz w:val="24"/>
              </w:rPr>
            </w:pPr>
          </w:p>
        </w:tc>
        <w:tc>
          <w:tcPr>
            <w:tcW w:w="1392" w:type="dxa"/>
            <w:tcBorders>
              <w:top w:val="single" w:color="auto" w:sz="12" w:space="0"/>
              <w:right w:val="single" w:color="auto" w:sz="12" w:space="0"/>
            </w:tcBorders>
            <w:noWrap w:val="0"/>
            <w:vAlign w:val="center"/>
          </w:tcPr>
          <w:p w14:paraId="462CA9CD">
            <w:pPr>
              <w:keepNext w:val="0"/>
              <w:keepLines w:val="0"/>
              <w:pageBreakBefore w:val="0"/>
              <w:kinsoku/>
              <w:wordWrap/>
              <w:overflowPunct/>
              <w:topLinePunct w:val="0"/>
              <w:bidi w:val="0"/>
              <w:spacing w:line="560" w:lineRule="exact"/>
              <w:jc w:val="left"/>
              <w:textAlignment w:val="auto"/>
              <w:rPr>
                <w:rFonts w:hint="eastAsia"/>
                <w:sz w:val="24"/>
              </w:rPr>
            </w:pPr>
          </w:p>
        </w:tc>
      </w:tr>
      <w:tr w14:paraId="49F7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14:paraId="2007C88F">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2</w:t>
            </w:r>
          </w:p>
        </w:tc>
        <w:tc>
          <w:tcPr>
            <w:tcW w:w="1653" w:type="dxa"/>
            <w:noWrap w:val="0"/>
            <w:vAlign w:val="center"/>
          </w:tcPr>
          <w:p w14:paraId="2CFA9FD1">
            <w:pPr>
              <w:keepNext w:val="0"/>
              <w:keepLines w:val="0"/>
              <w:pageBreakBefore w:val="0"/>
              <w:kinsoku/>
              <w:wordWrap/>
              <w:overflowPunct/>
              <w:topLinePunct w:val="0"/>
              <w:bidi w:val="0"/>
              <w:spacing w:line="560" w:lineRule="exact"/>
              <w:jc w:val="left"/>
              <w:textAlignment w:val="auto"/>
              <w:rPr>
                <w:rFonts w:hint="eastAsia"/>
                <w:sz w:val="24"/>
              </w:rPr>
            </w:pPr>
          </w:p>
        </w:tc>
        <w:tc>
          <w:tcPr>
            <w:tcW w:w="796" w:type="dxa"/>
            <w:noWrap w:val="0"/>
            <w:vAlign w:val="center"/>
          </w:tcPr>
          <w:p w14:paraId="735B983F">
            <w:pPr>
              <w:keepNext w:val="0"/>
              <w:keepLines w:val="0"/>
              <w:pageBreakBefore w:val="0"/>
              <w:kinsoku/>
              <w:wordWrap/>
              <w:overflowPunct/>
              <w:topLinePunct w:val="0"/>
              <w:bidi w:val="0"/>
              <w:spacing w:line="560" w:lineRule="exact"/>
              <w:jc w:val="left"/>
              <w:textAlignment w:val="auto"/>
              <w:rPr>
                <w:rFonts w:hint="eastAsia"/>
                <w:sz w:val="24"/>
              </w:rPr>
            </w:pPr>
          </w:p>
        </w:tc>
        <w:tc>
          <w:tcPr>
            <w:tcW w:w="1920" w:type="dxa"/>
            <w:noWrap w:val="0"/>
            <w:vAlign w:val="center"/>
          </w:tcPr>
          <w:p w14:paraId="7C60E7EA">
            <w:pPr>
              <w:keepNext w:val="0"/>
              <w:keepLines w:val="0"/>
              <w:pageBreakBefore w:val="0"/>
              <w:kinsoku/>
              <w:wordWrap/>
              <w:overflowPunct/>
              <w:topLinePunct w:val="0"/>
              <w:bidi w:val="0"/>
              <w:spacing w:line="560" w:lineRule="exact"/>
              <w:jc w:val="left"/>
              <w:textAlignment w:val="auto"/>
              <w:rPr>
                <w:rFonts w:hint="eastAsia"/>
                <w:sz w:val="24"/>
              </w:rPr>
            </w:pPr>
          </w:p>
        </w:tc>
        <w:tc>
          <w:tcPr>
            <w:tcW w:w="1390" w:type="dxa"/>
            <w:noWrap w:val="0"/>
            <w:vAlign w:val="center"/>
          </w:tcPr>
          <w:p w14:paraId="082553DA">
            <w:pPr>
              <w:keepNext w:val="0"/>
              <w:keepLines w:val="0"/>
              <w:pageBreakBefore w:val="0"/>
              <w:kinsoku/>
              <w:wordWrap/>
              <w:overflowPunct/>
              <w:topLinePunct w:val="0"/>
              <w:bidi w:val="0"/>
              <w:spacing w:line="560" w:lineRule="exact"/>
              <w:jc w:val="left"/>
              <w:textAlignment w:val="auto"/>
              <w:rPr>
                <w:rFonts w:hint="eastAsia"/>
                <w:sz w:val="24"/>
              </w:rPr>
            </w:pPr>
          </w:p>
        </w:tc>
        <w:tc>
          <w:tcPr>
            <w:tcW w:w="1091" w:type="dxa"/>
            <w:noWrap w:val="0"/>
            <w:vAlign w:val="center"/>
          </w:tcPr>
          <w:p w14:paraId="03ECADE6">
            <w:pPr>
              <w:keepNext w:val="0"/>
              <w:keepLines w:val="0"/>
              <w:pageBreakBefore w:val="0"/>
              <w:kinsoku/>
              <w:wordWrap/>
              <w:overflowPunct/>
              <w:topLinePunct w:val="0"/>
              <w:bidi w:val="0"/>
              <w:spacing w:line="560" w:lineRule="exact"/>
              <w:jc w:val="left"/>
              <w:textAlignment w:val="auto"/>
              <w:rPr>
                <w:rFonts w:hint="eastAsia"/>
                <w:sz w:val="24"/>
              </w:rPr>
            </w:pPr>
          </w:p>
        </w:tc>
        <w:tc>
          <w:tcPr>
            <w:tcW w:w="1392" w:type="dxa"/>
            <w:tcBorders>
              <w:right w:val="single" w:color="auto" w:sz="12" w:space="0"/>
            </w:tcBorders>
            <w:noWrap w:val="0"/>
            <w:vAlign w:val="center"/>
          </w:tcPr>
          <w:p w14:paraId="6BB6FF1F">
            <w:pPr>
              <w:keepNext w:val="0"/>
              <w:keepLines w:val="0"/>
              <w:pageBreakBefore w:val="0"/>
              <w:kinsoku/>
              <w:wordWrap/>
              <w:overflowPunct/>
              <w:topLinePunct w:val="0"/>
              <w:bidi w:val="0"/>
              <w:spacing w:line="560" w:lineRule="exact"/>
              <w:jc w:val="left"/>
              <w:textAlignment w:val="auto"/>
              <w:rPr>
                <w:rFonts w:hint="eastAsia"/>
                <w:sz w:val="24"/>
              </w:rPr>
            </w:pPr>
          </w:p>
        </w:tc>
      </w:tr>
      <w:tr w14:paraId="5D2B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14:paraId="6549F594">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3</w:t>
            </w:r>
          </w:p>
        </w:tc>
        <w:tc>
          <w:tcPr>
            <w:tcW w:w="1653" w:type="dxa"/>
            <w:noWrap w:val="0"/>
            <w:vAlign w:val="center"/>
          </w:tcPr>
          <w:p w14:paraId="321DA835">
            <w:pPr>
              <w:keepNext w:val="0"/>
              <w:keepLines w:val="0"/>
              <w:pageBreakBefore w:val="0"/>
              <w:kinsoku/>
              <w:wordWrap/>
              <w:overflowPunct/>
              <w:topLinePunct w:val="0"/>
              <w:bidi w:val="0"/>
              <w:spacing w:line="560" w:lineRule="exact"/>
              <w:jc w:val="left"/>
              <w:textAlignment w:val="auto"/>
              <w:rPr>
                <w:rFonts w:hint="eastAsia"/>
                <w:sz w:val="24"/>
              </w:rPr>
            </w:pPr>
          </w:p>
        </w:tc>
        <w:tc>
          <w:tcPr>
            <w:tcW w:w="796" w:type="dxa"/>
            <w:noWrap w:val="0"/>
            <w:vAlign w:val="center"/>
          </w:tcPr>
          <w:p w14:paraId="41D87A13">
            <w:pPr>
              <w:keepNext w:val="0"/>
              <w:keepLines w:val="0"/>
              <w:pageBreakBefore w:val="0"/>
              <w:kinsoku/>
              <w:wordWrap/>
              <w:overflowPunct/>
              <w:topLinePunct w:val="0"/>
              <w:bidi w:val="0"/>
              <w:spacing w:line="560" w:lineRule="exact"/>
              <w:jc w:val="left"/>
              <w:textAlignment w:val="auto"/>
              <w:rPr>
                <w:rFonts w:hint="eastAsia"/>
                <w:sz w:val="24"/>
              </w:rPr>
            </w:pPr>
          </w:p>
        </w:tc>
        <w:tc>
          <w:tcPr>
            <w:tcW w:w="1920" w:type="dxa"/>
            <w:noWrap w:val="0"/>
            <w:vAlign w:val="center"/>
          </w:tcPr>
          <w:p w14:paraId="5F58E24B">
            <w:pPr>
              <w:keepNext w:val="0"/>
              <w:keepLines w:val="0"/>
              <w:pageBreakBefore w:val="0"/>
              <w:kinsoku/>
              <w:wordWrap/>
              <w:overflowPunct/>
              <w:topLinePunct w:val="0"/>
              <w:bidi w:val="0"/>
              <w:spacing w:line="560" w:lineRule="exact"/>
              <w:jc w:val="left"/>
              <w:textAlignment w:val="auto"/>
              <w:rPr>
                <w:rFonts w:hint="eastAsia"/>
                <w:sz w:val="24"/>
              </w:rPr>
            </w:pPr>
          </w:p>
        </w:tc>
        <w:tc>
          <w:tcPr>
            <w:tcW w:w="1390" w:type="dxa"/>
            <w:noWrap w:val="0"/>
            <w:vAlign w:val="center"/>
          </w:tcPr>
          <w:p w14:paraId="1C80B84A">
            <w:pPr>
              <w:keepNext w:val="0"/>
              <w:keepLines w:val="0"/>
              <w:pageBreakBefore w:val="0"/>
              <w:kinsoku/>
              <w:wordWrap/>
              <w:overflowPunct/>
              <w:topLinePunct w:val="0"/>
              <w:bidi w:val="0"/>
              <w:spacing w:line="560" w:lineRule="exact"/>
              <w:jc w:val="left"/>
              <w:textAlignment w:val="auto"/>
              <w:rPr>
                <w:rFonts w:hint="eastAsia"/>
                <w:sz w:val="24"/>
              </w:rPr>
            </w:pPr>
          </w:p>
        </w:tc>
        <w:tc>
          <w:tcPr>
            <w:tcW w:w="1091" w:type="dxa"/>
            <w:noWrap w:val="0"/>
            <w:vAlign w:val="center"/>
          </w:tcPr>
          <w:p w14:paraId="743A8EA8">
            <w:pPr>
              <w:keepNext w:val="0"/>
              <w:keepLines w:val="0"/>
              <w:pageBreakBefore w:val="0"/>
              <w:kinsoku/>
              <w:wordWrap/>
              <w:overflowPunct/>
              <w:topLinePunct w:val="0"/>
              <w:bidi w:val="0"/>
              <w:spacing w:line="560" w:lineRule="exact"/>
              <w:jc w:val="left"/>
              <w:textAlignment w:val="auto"/>
              <w:rPr>
                <w:rFonts w:hint="eastAsia"/>
                <w:sz w:val="24"/>
              </w:rPr>
            </w:pPr>
          </w:p>
        </w:tc>
        <w:tc>
          <w:tcPr>
            <w:tcW w:w="1392" w:type="dxa"/>
            <w:tcBorders>
              <w:right w:val="single" w:color="auto" w:sz="12" w:space="0"/>
            </w:tcBorders>
            <w:noWrap w:val="0"/>
            <w:vAlign w:val="center"/>
          </w:tcPr>
          <w:p w14:paraId="640E6B02">
            <w:pPr>
              <w:keepNext w:val="0"/>
              <w:keepLines w:val="0"/>
              <w:pageBreakBefore w:val="0"/>
              <w:kinsoku/>
              <w:wordWrap/>
              <w:overflowPunct/>
              <w:topLinePunct w:val="0"/>
              <w:bidi w:val="0"/>
              <w:spacing w:line="560" w:lineRule="exact"/>
              <w:jc w:val="left"/>
              <w:textAlignment w:val="auto"/>
              <w:rPr>
                <w:rFonts w:hint="eastAsia"/>
                <w:sz w:val="24"/>
              </w:rPr>
            </w:pPr>
          </w:p>
        </w:tc>
      </w:tr>
      <w:tr w14:paraId="4AA5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14:paraId="099EEC00">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4</w:t>
            </w:r>
          </w:p>
        </w:tc>
        <w:tc>
          <w:tcPr>
            <w:tcW w:w="1653" w:type="dxa"/>
            <w:noWrap w:val="0"/>
            <w:vAlign w:val="center"/>
          </w:tcPr>
          <w:p w14:paraId="2CA632DE">
            <w:pPr>
              <w:keepNext w:val="0"/>
              <w:keepLines w:val="0"/>
              <w:pageBreakBefore w:val="0"/>
              <w:kinsoku/>
              <w:wordWrap/>
              <w:overflowPunct/>
              <w:topLinePunct w:val="0"/>
              <w:bidi w:val="0"/>
              <w:spacing w:line="560" w:lineRule="exact"/>
              <w:jc w:val="left"/>
              <w:textAlignment w:val="auto"/>
              <w:rPr>
                <w:rFonts w:hint="eastAsia"/>
                <w:sz w:val="24"/>
              </w:rPr>
            </w:pPr>
          </w:p>
        </w:tc>
        <w:tc>
          <w:tcPr>
            <w:tcW w:w="796" w:type="dxa"/>
            <w:noWrap w:val="0"/>
            <w:vAlign w:val="center"/>
          </w:tcPr>
          <w:p w14:paraId="69E55687">
            <w:pPr>
              <w:keepNext w:val="0"/>
              <w:keepLines w:val="0"/>
              <w:pageBreakBefore w:val="0"/>
              <w:kinsoku/>
              <w:wordWrap/>
              <w:overflowPunct/>
              <w:topLinePunct w:val="0"/>
              <w:bidi w:val="0"/>
              <w:spacing w:line="560" w:lineRule="exact"/>
              <w:jc w:val="left"/>
              <w:textAlignment w:val="auto"/>
              <w:rPr>
                <w:rFonts w:hint="eastAsia"/>
                <w:sz w:val="24"/>
              </w:rPr>
            </w:pPr>
          </w:p>
        </w:tc>
        <w:tc>
          <w:tcPr>
            <w:tcW w:w="1920" w:type="dxa"/>
            <w:noWrap w:val="0"/>
            <w:vAlign w:val="center"/>
          </w:tcPr>
          <w:p w14:paraId="37B256F9">
            <w:pPr>
              <w:keepNext w:val="0"/>
              <w:keepLines w:val="0"/>
              <w:pageBreakBefore w:val="0"/>
              <w:kinsoku/>
              <w:wordWrap/>
              <w:overflowPunct/>
              <w:topLinePunct w:val="0"/>
              <w:bidi w:val="0"/>
              <w:spacing w:line="560" w:lineRule="exact"/>
              <w:jc w:val="left"/>
              <w:textAlignment w:val="auto"/>
              <w:rPr>
                <w:rFonts w:hint="eastAsia"/>
                <w:sz w:val="24"/>
              </w:rPr>
            </w:pPr>
          </w:p>
        </w:tc>
        <w:tc>
          <w:tcPr>
            <w:tcW w:w="1390" w:type="dxa"/>
            <w:noWrap w:val="0"/>
            <w:vAlign w:val="center"/>
          </w:tcPr>
          <w:p w14:paraId="44D7495B">
            <w:pPr>
              <w:keepNext w:val="0"/>
              <w:keepLines w:val="0"/>
              <w:pageBreakBefore w:val="0"/>
              <w:kinsoku/>
              <w:wordWrap/>
              <w:overflowPunct/>
              <w:topLinePunct w:val="0"/>
              <w:bidi w:val="0"/>
              <w:spacing w:line="560" w:lineRule="exact"/>
              <w:jc w:val="left"/>
              <w:textAlignment w:val="auto"/>
              <w:rPr>
                <w:rFonts w:hint="eastAsia"/>
                <w:sz w:val="24"/>
              </w:rPr>
            </w:pPr>
          </w:p>
        </w:tc>
        <w:tc>
          <w:tcPr>
            <w:tcW w:w="1091" w:type="dxa"/>
            <w:noWrap w:val="0"/>
            <w:vAlign w:val="center"/>
          </w:tcPr>
          <w:p w14:paraId="586A12FF">
            <w:pPr>
              <w:keepNext w:val="0"/>
              <w:keepLines w:val="0"/>
              <w:pageBreakBefore w:val="0"/>
              <w:kinsoku/>
              <w:wordWrap/>
              <w:overflowPunct/>
              <w:topLinePunct w:val="0"/>
              <w:bidi w:val="0"/>
              <w:spacing w:line="560" w:lineRule="exact"/>
              <w:jc w:val="left"/>
              <w:textAlignment w:val="auto"/>
              <w:rPr>
                <w:rFonts w:hint="eastAsia"/>
                <w:sz w:val="24"/>
              </w:rPr>
            </w:pPr>
          </w:p>
        </w:tc>
        <w:tc>
          <w:tcPr>
            <w:tcW w:w="1392" w:type="dxa"/>
            <w:tcBorders>
              <w:right w:val="single" w:color="auto" w:sz="12" w:space="0"/>
            </w:tcBorders>
            <w:noWrap w:val="0"/>
            <w:vAlign w:val="center"/>
          </w:tcPr>
          <w:p w14:paraId="0D4D9A0E">
            <w:pPr>
              <w:keepNext w:val="0"/>
              <w:keepLines w:val="0"/>
              <w:pageBreakBefore w:val="0"/>
              <w:kinsoku/>
              <w:wordWrap/>
              <w:overflowPunct/>
              <w:topLinePunct w:val="0"/>
              <w:bidi w:val="0"/>
              <w:spacing w:line="560" w:lineRule="exact"/>
              <w:jc w:val="left"/>
              <w:textAlignment w:val="auto"/>
              <w:rPr>
                <w:rFonts w:hint="eastAsia"/>
                <w:sz w:val="24"/>
              </w:rPr>
            </w:pPr>
          </w:p>
        </w:tc>
      </w:tr>
      <w:tr w14:paraId="1361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14:paraId="2894D2B0">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5</w:t>
            </w:r>
          </w:p>
        </w:tc>
        <w:tc>
          <w:tcPr>
            <w:tcW w:w="1653" w:type="dxa"/>
            <w:noWrap w:val="0"/>
            <w:vAlign w:val="center"/>
          </w:tcPr>
          <w:p w14:paraId="1D6A6436">
            <w:pPr>
              <w:keepNext w:val="0"/>
              <w:keepLines w:val="0"/>
              <w:pageBreakBefore w:val="0"/>
              <w:kinsoku/>
              <w:wordWrap/>
              <w:overflowPunct/>
              <w:topLinePunct w:val="0"/>
              <w:bidi w:val="0"/>
              <w:spacing w:line="560" w:lineRule="exact"/>
              <w:jc w:val="left"/>
              <w:textAlignment w:val="auto"/>
              <w:rPr>
                <w:rFonts w:hint="eastAsia"/>
                <w:sz w:val="24"/>
              </w:rPr>
            </w:pPr>
            <w:r>
              <w:rPr>
                <w:rFonts w:hint="eastAsia" w:ascii="宋体" w:hAnsi="宋体"/>
                <w:sz w:val="24"/>
              </w:rPr>
              <w:t>……</w:t>
            </w:r>
          </w:p>
        </w:tc>
        <w:tc>
          <w:tcPr>
            <w:tcW w:w="796" w:type="dxa"/>
            <w:noWrap w:val="0"/>
            <w:vAlign w:val="center"/>
          </w:tcPr>
          <w:p w14:paraId="1BA6D992">
            <w:pPr>
              <w:keepNext w:val="0"/>
              <w:keepLines w:val="0"/>
              <w:pageBreakBefore w:val="0"/>
              <w:kinsoku/>
              <w:wordWrap/>
              <w:overflowPunct/>
              <w:topLinePunct w:val="0"/>
              <w:bidi w:val="0"/>
              <w:spacing w:line="560" w:lineRule="exact"/>
              <w:jc w:val="left"/>
              <w:textAlignment w:val="auto"/>
              <w:rPr>
                <w:rFonts w:hint="eastAsia"/>
                <w:sz w:val="24"/>
              </w:rPr>
            </w:pPr>
          </w:p>
        </w:tc>
        <w:tc>
          <w:tcPr>
            <w:tcW w:w="1920" w:type="dxa"/>
            <w:noWrap w:val="0"/>
            <w:vAlign w:val="center"/>
          </w:tcPr>
          <w:p w14:paraId="33351CF9">
            <w:pPr>
              <w:keepNext w:val="0"/>
              <w:keepLines w:val="0"/>
              <w:pageBreakBefore w:val="0"/>
              <w:kinsoku/>
              <w:wordWrap/>
              <w:overflowPunct/>
              <w:topLinePunct w:val="0"/>
              <w:bidi w:val="0"/>
              <w:spacing w:line="560" w:lineRule="exact"/>
              <w:jc w:val="left"/>
              <w:textAlignment w:val="auto"/>
              <w:rPr>
                <w:rFonts w:hint="eastAsia"/>
                <w:sz w:val="24"/>
              </w:rPr>
            </w:pPr>
          </w:p>
        </w:tc>
        <w:tc>
          <w:tcPr>
            <w:tcW w:w="1390" w:type="dxa"/>
            <w:noWrap w:val="0"/>
            <w:vAlign w:val="center"/>
          </w:tcPr>
          <w:p w14:paraId="40DF7238">
            <w:pPr>
              <w:keepNext w:val="0"/>
              <w:keepLines w:val="0"/>
              <w:pageBreakBefore w:val="0"/>
              <w:kinsoku/>
              <w:wordWrap/>
              <w:overflowPunct/>
              <w:topLinePunct w:val="0"/>
              <w:bidi w:val="0"/>
              <w:spacing w:line="560" w:lineRule="exact"/>
              <w:jc w:val="left"/>
              <w:textAlignment w:val="auto"/>
              <w:rPr>
                <w:rFonts w:hint="eastAsia"/>
                <w:sz w:val="24"/>
              </w:rPr>
            </w:pPr>
          </w:p>
        </w:tc>
        <w:tc>
          <w:tcPr>
            <w:tcW w:w="1091" w:type="dxa"/>
            <w:noWrap w:val="0"/>
            <w:vAlign w:val="center"/>
          </w:tcPr>
          <w:p w14:paraId="415B3856">
            <w:pPr>
              <w:keepNext w:val="0"/>
              <w:keepLines w:val="0"/>
              <w:pageBreakBefore w:val="0"/>
              <w:kinsoku/>
              <w:wordWrap/>
              <w:overflowPunct/>
              <w:topLinePunct w:val="0"/>
              <w:bidi w:val="0"/>
              <w:spacing w:line="560" w:lineRule="exact"/>
              <w:jc w:val="left"/>
              <w:textAlignment w:val="auto"/>
              <w:rPr>
                <w:rFonts w:hint="eastAsia"/>
                <w:sz w:val="24"/>
              </w:rPr>
            </w:pPr>
          </w:p>
        </w:tc>
        <w:tc>
          <w:tcPr>
            <w:tcW w:w="1392" w:type="dxa"/>
            <w:tcBorders>
              <w:right w:val="single" w:color="auto" w:sz="12" w:space="0"/>
            </w:tcBorders>
            <w:noWrap w:val="0"/>
            <w:vAlign w:val="center"/>
          </w:tcPr>
          <w:p w14:paraId="601577DB">
            <w:pPr>
              <w:keepNext w:val="0"/>
              <w:keepLines w:val="0"/>
              <w:pageBreakBefore w:val="0"/>
              <w:kinsoku/>
              <w:wordWrap/>
              <w:overflowPunct/>
              <w:topLinePunct w:val="0"/>
              <w:bidi w:val="0"/>
              <w:spacing w:line="560" w:lineRule="exact"/>
              <w:jc w:val="left"/>
              <w:textAlignment w:val="auto"/>
              <w:rPr>
                <w:rFonts w:hint="eastAsia"/>
                <w:sz w:val="24"/>
              </w:rPr>
            </w:pPr>
          </w:p>
        </w:tc>
      </w:tr>
      <w:tr w14:paraId="3BE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14:paraId="37221FAE">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6</w:t>
            </w:r>
          </w:p>
        </w:tc>
        <w:tc>
          <w:tcPr>
            <w:tcW w:w="1653" w:type="dxa"/>
            <w:noWrap w:val="0"/>
            <w:vAlign w:val="center"/>
          </w:tcPr>
          <w:p w14:paraId="7A562676">
            <w:pPr>
              <w:keepNext w:val="0"/>
              <w:keepLines w:val="0"/>
              <w:pageBreakBefore w:val="0"/>
              <w:kinsoku/>
              <w:wordWrap/>
              <w:overflowPunct/>
              <w:topLinePunct w:val="0"/>
              <w:bidi w:val="0"/>
              <w:spacing w:line="560" w:lineRule="exact"/>
              <w:jc w:val="left"/>
              <w:textAlignment w:val="auto"/>
              <w:rPr>
                <w:rFonts w:hint="eastAsia"/>
                <w:sz w:val="24"/>
              </w:rPr>
            </w:pPr>
            <w:r>
              <w:rPr>
                <w:rFonts w:hint="eastAsia" w:ascii="宋体" w:hAnsi="宋体"/>
                <w:sz w:val="24"/>
              </w:rPr>
              <w:t>……</w:t>
            </w:r>
          </w:p>
        </w:tc>
        <w:tc>
          <w:tcPr>
            <w:tcW w:w="796" w:type="dxa"/>
            <w:noWrap w:val="0"/>
            <w:vAlign w:val="center"/>
          </w:tcPr>
          <w:p w14:paraId="472FE6F6">
            <w:pPr>
              <w:keepNext w:val="0"/>
              <w:keepLines w:val="0"/>
              <w:pageBreakBefore w:val="0"/>
              <w:kinsoku/>
              <w:wordWrap/>
              <w:overflowPunct/>
              <w:topLinePunct w:val="0"/>
              <w:bidi w:val="0"/>
              <w:spacing w:line="560" w:lineRule="exact"/>
              <w:jc w:val="left"/>
              <w:textAlignment w:val="auto"/>
              <w:rPr>
                <w:rFonts w:hint="eastAsia"/>
                <w:sz w:val="24"/>
              </w:rPr>
            </w:pPr>
          </w:p>
        </w:tc>
        <w:tc>
          <w:tcPr>
            <w:tcW w:w="1920" w:type="dxa"/>
            <w:noWrap w:val="0"/>
            <w:vAlign w:val="center"/>
          </w:tcPr>
          <w:p w14:paraId="697FC4E1">
            <w:pPr>
              <w:keepNext w:val="0"/>
              <w:keepLines w:val="0"/>
              <w:pageBreakBefore w:val="0"/>
              <w:kinsoku/>
              <w:wordWrap/>
              <w:overflowPunct/>
              <w:topLinePunct w:val="0"/>
              <w:bidi w:val="0"/>
              <w:spacing w:line="560" w:lineRule="exact"/>
              <w:jc w:val="left"/>
              <w:textAlignment w:val="auto"/>
              <w:rPr>
                <w:rFonts w:hint="eastAsia"/>
                <w:sz w:val="24"/>
              </w:rPr>
            </w:pPr>
          </w:p>
        </w:tc>
        <w:tc>
          <w:tcPr>
            <w:tcW w:w="1390" w:type="dxa"/>
            <w:noWrap w:val="0"/>
            <w:vAlign w:val="center"/>
          </w:tcPr>
          <w:p w14:paraId="7C8CAD5C">
            <w:pPr>
              <w:keepNext w:val="0"/>
              <w:keepLines w:val="0"/>
              <w:pageBreakBefore w:val="0"/>
              <w:kinsoku/>
              <w:wordWrap/>
              <w:overflowPunct/>
              <w:topLinePunct w:val="0"/>
              <w:bidi w:val="0"/>
              <w:spacing w:line="560" w:lineRule="exact"/>
              <w:jc w:val="left"/>
              <w:textAlignment w:val="auto"/>
              <w:rPr>
                <w:rFonts w:hint="eastAsia"/>
                <w:sz w:val="24"/>
              </w:rPr>
            </w:pPr>
          </w:p>
        </w:tc>
        <w:tc>
          <w:tcPr>
            <w:tcW w:w="1091" w:type="dxa"/>
            <w:noWrap w:val="0"/>
            <w:vAlign w:val="center"/>
          </w:tcPr>
          <w:p w14:paraId="09EB7030">
            <w:pPr>
              <w:keepNext w:val="0"/>
              <w:keepLines w:val="0"/>
              <w:pageBreakBefore w:val="0"/>
              <w:kinsoku/>
              <w:wordWrap/>
              <w:overflowPunct/>
              <w:topLinePunct w:val="0"/>
              <w:bidi w:val="0"/>
              <w:spacing w:line="560" w:lineRule="exact"/>
              <w:jc w:val="left"/>
              <w:textAlignment w:val="auto"/>
              <w:rPr>
                <w:rFonts w:hint="eastAsia"/>
                <w:sz w:val="24"/>
              </w:rPr>
            </w:pPr>
          </w:p>
        </w:tc>
        <w:tc>
          <w:tcPr>
            <w:tcW w:w="1392" w:type="dxa"/>
            <w:tcBorders>
              <w:right w:val="single" w:color="auto" w:sz="12" w:space="0"/>
            </w:tcBorders>
            <w:noWrap w:val="0"/>
            <w:vAlign w:val="center"/>
          </w:tcPr>
          <w:p w14:paraId="788537ED">
            <w:pPr>
              <w:keepNext w:val="0"/>
              <w:keepLines w:val="0"/>
              <w:pageBreakBefore w:val="0"/>
              <w:kinsoku/>
              <w:wordWrap/>
              <w:overflowPunct/>
              <w:topLinePunct w:val="0"/>
              <w:bidi w:val="0"/>
              <w:spacing w:line="560" w:lineRule="exact"/>
              <w:jc w:val="left"/>
              <w:textAlignment w:val="auto"/>
              <w:rPr>
                <w:rFonts w:hint="eastAsia"/>
                <w:sz w:val="24"/>
              </w:rPr>
            </w:pPr>
          </w:p>
        </w:tc>
      </w:tr>
      <w:tr w14:paraId="4C2D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14:paraId="023BF83D">
            <w:pPr>
              <w:keepNext w:val="0"/>
              <w:keepLines w:val="0"/>
              <w:pageBreakBefore w:val="0"/>
              <w:kinsoku/>
              <w:wordWrap/>
              <w:overflowPunct/>
              <w:topLinePunct w:val="0"/>
              <w:bidi w:val="0"/>
              <w:spacing w:line="560" w:lineRule="exact"/>
              <w:jc w:val="left"/>
              <w:textAlignment w:val="auto"/>
              <w:rPr>
                <w:rFonts w:hint="eastAsia"/>
                <w:sz w:val="24"/>
              </w:rPr>
            </w:pPr>
          </w:p>
        </w:tc>
        <w:tc>
          <w:tcPr>
            <w:tcW w:w="1653" w:type="dxa"/>
            <w:noWrap w:val="0"/>
            <w:vAlign w:val="center"/>
          </w:tcPr>
          <w:p w14:paraId="24E8F6DD">
            <w:pPr>
              <w:keepNext w:val="0"/>
              <w:keepLines w:val="0"/>
              <w:pageBreakBefore w:val="0"/>
              <w:kinsoku/>
              <w:wordWrap/>
              <w:overflowPunct/>
              <w:topLinePunct w:val="0"/>
              <w:bidi w:val="0"/>
              <w:spacing w:line="560" w:lineRule="exact"/>
              <w:jc w:val="left"/>
              <w:textAlignment w:val="auto"/>
              <w:rPr>
                <w:rFonts w:hint="eastAsia"/>
                <w:sz w:val="24"/>
              </w:rPr>
            </w:pPr>
          </w:p>
        </w:tc>
        <w:tc>
          <w:tcPr>
            <w:tcW w:w="796" w:type="dxa"/>
            <w:noWrap w:val="0"/>
            <w:vAlign w:val="center"/>
          </w:tcPr>
          <w:p w14:paraId="14E1ABD9">
            <w:pPr>
              <w:keepNext w:val="0"/>
              <w:keepLines w:val="0"/>
              <w:pageBreakBefore w:val="0"/>
              <w:kinsoku/>
              <w:wordWrap/>
              <w:overflowPunct/>
              <w:topLinePunct w:val="0"/>
              <w:bidi w:val="0"/>
              <w:spacing w:line="560" w:lineRule="exact"/>
              <w:jc w:val="left"/>
              <w:textAlignment w:val="auto"/>
              <w:rPr>
                <w:rFonts w:hint="eastAsia"/>
                <w:sz w:val="24"/>
              </w:rPr>
            </w:pPr>
          </w:p>
        </w:tc>
        <w:tc>
          <w:tcPr>
            <w:tcW w:w="1920" w:type="dxa"/>
            <w:noWrap w:val="0"/>
            <w:vAlign w:val="center"/>
          </w:tcPr>
          <w:p w14:paraId="77E231DF">
            <w:pPr>
              <w:keepNext w:val="0"/>
              <w:keepLines w:val="0"/>
              <w:pageBreakBefore w:val="0"/>
              <w:kinsoku/>
              <w:wordWrap/>
              <w:overflowPunct/>
              <w:topLinePunct w:val="0"/>
              <w:bidi w:val="0"/>
              <w:spacing w:line="560" w:lineRule="exact"/>
              <w:jc w:val="left"/>
              <w:textAlignment w:val="auto"/>
              <w:rPr>
                <w:rFonts w:hint="eastAsia"/>
                <w:sz w:val="24"/>
              </w:rPr>
            </w:pPr>
          </w:p>
        </w:tc>
        <w:tc>
          <w:tcPr>
            <w:tcW w:w="1390" w:type="dxa"/>
            <w:noWrap w:val="0"/>
            <w:vAlign w:val="center"/>
          </w:tcPr>
          <w:p w14:paraId="56806B6C">
            <w:pPr>
              <w:keepNext w:val="0"/>
              <w:keepLines w:val="0"/>
              <w:pageBreakBefore w:val="0"/>
              <w:kinsoku/>
              <w:wordWrap/>
              <w:overflowPunct/>
              <w:topLinePunct w:val="0"/>
              <w:bidi w:val="0"/>
              <w:spacing w:line="560" w:lineRule="exact"/>
              <w:jc w:val="left"/>
              <w:textAlignment w:val="auto"/>
              <w:rPr>
                <w:rFonts w:hint="eastAsia"/>
                <w:sz w:val="24"/>
              </w:rPr>
            </w:pPr>
          </w:p>
        </w:tc>
        <w:tc>
          <w:tcPr>
            <w:tcW w:w="1091" w:type="dxa"/>
            <w:noWrap w:val="0"/>
            <w:vAlign w:val="center"/>
          </w:tcPr>
          <w:p w14:paraId="14FCEF3E">
            <w:pPr>
              <w:keepNext w:val="0"/>
              <w:keepLines w:val="0"/>
              <w:pageBreakBefore w:val="0"/>
              <w:kinsoku/>
              <w:wordWrap/>
              <w:overflowPunct/>
              <w:topLinePunct w:val="0"/>
              <w:bidi w:val="0"/>
              <w:spacing w:line="560" w:lineRule="exact"/>
              <w:jc w:val="left"/>
              <w:textAlignment w:val="auto"/>
              <w:rPr>
                <w:rFonts w:hint="eastAsia"/>
                <w:sz w:val="24"/>
              </w:rPr>
            </w:pPr>
          </w:p>
        </w:tc>
        <w:tc>
          <w:tcPr>
            <w:tcW w:w="1392" w:type="dxa"/>
            <w:tcBorders>
              <w:right w:val="single" w:color="auto" w:sz="12" w:space="0"/>
            </w:tcBorders>
            <w:noWrap w:val="0"/>
            <w:vAlign w:val="center"/>
          </w:tcPr>
          <w:p w14:paraId="3D1FA44D">
            <w:pPr>
              <w:keepNext w:val="0"/>
              <w:keepLines w:val="0"/>
              <w:pageBreakBefore w:val="0"/>
              <w:kinsoku/>
              <w:wordWrap/>
              <w:overflowPunct/>
              <w:topLinePunct w:val="0"/>
              <w:bidi w:val="0"/>
              <w:spacing w:line="560" w:lineRule="exact"/>
              <w:jc w:val="left"/>
              <w:textAlignment w:val="auto"/>
              <w:rPr>
                <w:rFonts w:hint="eastAsia"/>
                <w:sz w:val="24"/>
              </w:rPr>
            </w:pPr>
          </w:p>
        </w:tc>
      </w:tr>
      <w:tr w14:paraId="6293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noWrap w:val="0"/>
            <w:vAlign w:val="center"/>
          </w:tcPr>
          <w:p w14:paraId="483F144A">
            <w:pPr>
              <w:keepNext w:val="0"/>
              <w:keepLines w:val="0"/>
              <w:pageBreakBefore w:val="0"/>
              <w:kinsoku/>
              <w:wordWrap/>
              <w:overflowPunct/>
              <w:topLinePunct w:val="0"/>
              <w:bidi w:val="0"/>
              <w:spacing w:line="560" w:lineRule="exact"/>
              <w:jc w:val="center"/>
              <w:textAlignment w:val="auto"/>
              <w:rPr>
                <w:rFonts w:hint="eastAsia"/>
                <w:sz w:val="24"/>
              </w:rPr>
            </w:pPr>
            <w:r>
              <w:rPr>
                <w:rFonts w:hint="eastAsia"/>
                <w:sz w:val="24"/>
              </w:rPr>
              <w:t>小计</w:t>
            </w:r>
          </w:p>
        </w:tc>
        <w:tc>
          <w:tcPr>
            <w:tcW w:w="5793" w:type="dxa"/>
            <w:gridSpan w:val="4"/>
            <w:tcBorders>
              <w:left w:val="single" w:color="auto" w:sz="4" w:space="0"/>
              <w:right w:val="single" w:color="auto" w:sz="12" w:space="0"/>
            </w:tcBorders>
            <w:noWrap w:val="0"/>
            <w:vAlign w:val="center"/>
          </w:tcPr>
          <w:p w14:paraId="1B37380D">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 xml:space="preserve">                                      万元</w:t>
            </w:r>
          </w:p>
        </w:tc>
      </w:tr>
    </w:tbl>
    <w:p w14:paraId="429BAF5E">
      <w:pPr>
        <w:keepNext w:val="0"/>
        <w:keepLines w:val="0"/>
        <w:pageBreakBefore w:val="0"/>
        <w:kinsoku/>
        <w:wordWrap/>
        <w:overflowPunct/>
        <w:topLinePunct w:val="0"/>
        <w:bidi w:val="0"/>
        <w:spacing w:line="560" w:lineRule="exact"/>
        <w:jc w:val="left"/>
        <w:textAlignment w:val="auto"/>
        <w:rPr>
          <w:rFonts w:hint="eastAsia"/>
          <w:sz w:val="24"/>
        </w:rPr>
      </w:pPr>
      <w:r>
        <w:rPr>
          <w:rFonts w:hint="eastAsia"/>
          <w:sz w:val="24"/>
        </w:rPr>
        <w:t xml:space="preserve">  </w:t>
      </w:r>
      <w:r>
        <w:rPr>
          <w:rFonts w:hint="eastAsia"/>
          <w:sz w:val="24"/>
          <w:lang w:val="en-US" w:eastAsia="zh-CN"/>
        </w:rPr>
        <w:t>供应商</w:t>
      </w:r>
      <w:r>
        <w:rPr>
          <w:rFonts w:hint="eastAsia"/>
          <w:sz w:val="24"/>
        </w:rPr>
        <w:t>（盖章）：            法定代表或授权代表（签字或盖章）：</w:t>
      </w:r>
    </w:p>
    <w:p w14:paraId="5BF0A034">
      <w:pPr>
        <w:keepNext w:val="0"/>
        <w:keepLines w:val="0"/>
        <w:pageBreakBefore w:val="0"/>
        <w:widowControl/>
        <w:kinsoku/>
        <w:wordWrap/>
        <w:overflowPunct/>
        <w:topLinePunct w:val="0"/>
        <w:bidi w:val="0"/>
        <w:spacing w:line="560" w:lineRule="exact"/>
        <w:jc w:val="left"/>
        <w:textAlignment w:val="auto"/>
        <w:rPr>
          <w:rFonts w:ascii="仿宋_GB2312" w:eastAsia="仿宋_GB2312"/>
          <w:b/>
          <w:sz w:val="32"/>
          <w:szCs w:val="32"/>
        </w:rPr>
      </w:pPr>
    </w:p>
    <w:p w14:paraId="04F3205E">
      <w:pPr>
        <w:keepNext w:val="0"/>
        <w:keepLines w:val="0"/>
        <w:pageBreakBefore w:val="0"/>
        <w:kinsoku/>
        <w:wordWrap/>
        <w:overflowPunct/>
        <w:topLinePunct w:val="0"/>
        <w:bidi w:val="0"/>
        <w:spacing w:line="560" w:lineRule="exact"/>
        <w:textAlignment w:val="auto"/>
        <w:rPr>
          <w:rFonts w:hint="eastAsia" w:ascii="仿宋_GB2312" w:eastAsia="仿宋_GB2312"/>
          <w:b/>
          <w:sz w:val="32"/>
          <w:szCs w:val="32"/>
        </w:rPr>
      </w:pPr>
      <w:r>
        <w:rPr>
          <w:rFonts w:hint="eastAsia" w:ascii="仿宋_GB2312" w:eastAsia="仿宋_GB2312"/>
          <w:b/>
          <w:sz w:val="32"/>
          <w:szCs w:val="32"/>
        </w:rPr>
        <w:br w:type="page"/>
      </w:r>
    </w:p>
    <w:p w14:paraId="1650AFF3">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r>
        <w:rPr>
          <w:rFonts w:hint="eastAsia" w:ascii="仿宋_GB2312" w:eastAsia="仿宋_GB2312"/>
          <w:b/>
          <w:sz w:val="32"/>
          <w:szCs w:val="32"/>
        </w:rPr>
        <w:t>附件3：</w:t>
      </w:r>
    </w:p>
    <w:p w14:paraId="49A5AE09">
      <w:pPr>
        <w:keepNext w:val="0"/>
        <w:keepLines w:val="0"/>
        <w:pageBreakBefore w:val="0"/>
        <w:kinsoku/>
        <w:wordWrap/>
        <w:overflowPunct/>
        <w:topLinePunct w:val="0"/>
        <w:bidi w:val="0"/>
        <w:snapToGrid w:val="0"/>
        <w:spacing w:before="156" w:beforeLines="50" w:after="50" w:line="560" w:lineRule="exact"/>
        <w:jc w:val="center"/>
        <w:textAlignment w:val="auto"/>
        <w:rPr>
          <w:rFonts w:ascii="仿宋_GB2312" w:eastAsia="仿宋_GB2312"/>
          <w:b/>
          <w:sz w:val="32"/>
          <w:szCs w:val="32"/>
        </w:rPr>
      </w:pPr>
      <w:r>
        <w:rPr>
          <w:rFonts w:hint="eastAsia" w:ascii="仿宋_GB2312" w:eastAsia="仿宋_GB2312"/>
          <w:b/>
          <w:sz w:val="32"/>
          <w:szCs w:val="32"/>
        </w:rPr>
        <w:t>法定代表人授权委托书</w:t>
      </w:r>
    </w:p>
    <w:p w14:paraId="4E25B3D5">
      <w:pPr>
        <w:keepNext w:val="0"/>
        <w:keepLines w:val="0"/>
        <w:pageBreakBefore w:val="0"/>
        <w:kinsoku/>
        <w:wordWrap/>
        <w:overflowPunct/>
        <w:topLinePunct w:val="0"/>
        <w:bidi w:val="0"/>
        <w:snapToGrid w:val="0"/>
        <w:spacing w:line="560" w:lineRule="exact"/>
        <w:textAlignment w:val="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19EF494B">
      <w:pPr>
        <w:keepNext w:val="0"/>
        <w:keepLines w:val="0"/>
        <w:pageBreakBefore w:val="0"/>
        <w:kinsoku/>
        <w:wordWrap/>
        <w:overflowPunct/>
        <w:topLinePunct w:val="0"/>
        <w:bidi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w:t>
      </w:r>
      <w:r>
        <w:rPr>
          <w:rFonts w:hint="eastAsia" w:ascii="仿宋_GB2312" w:eastAsia="仿宋_GB2312"/>
          <w:sz w:val="32"/>
          <w:szCs w:val="32"/>
          <w:lang w:val="en-US" w:eastAsia="zh-CN"/>
        </w:rPr>
        <w:t>询价响应</w:t>
      </w:r>
      <w:r>
        <w:rPr>
          <w:rFonts w:hint="eastAsia" w:ascii="仿宋_GB2312" w:eastAsia="仿宋_GB2312"/>
          <w:sz w:val="32"/>
          <w:szCs w:val="32"/>
        </w:rPr>
        <w:t>活动，并代表我方全权办理针对上述项目的</w:t>
      </w:r>
      <w:r>
        <w:rPr>
          <w:rFonts w:hint="eastAsia" w:ascii="仿宋_GB2312" w:eastAsia="仿宋_GB2312"/>
          <w:sz w:val="32"/>
          <w:szCs w:val="32"/>
          <w:lang w:val="en-US" w:eastAsia="zh-CN"/>
        </w:rPr>
        <w:t>响应</w:t>
      </w:r>
      <w:r>
        <w:rPr>
          <w:rFonts w:hint="eastAsia" w:ascii="仿宋_GB2312" w:eastAsia="仿宋_GB2312"/>
          <w:sz w:val="32"/>
          <w:szCs w:val="32"/>
        </w:rPr>
        <w:t>、开标、评标、</w:t>
      </w:r>
      <w:r>
        <w:rPr>
          <w:rFonts w:hint="eastAsia" w:ascii="仿宋_GB2312" w:eastAsia="仿宋_GB2312"/>
          <w:sz w:val="32"/>
          <w:szCs w:val="32"/>
          <w:lang w:val="en-US" w:eastAsia="zh-CN"/>
        </w:rPr>
        <w:t>二次报价</w:t>
      </w:r>
      <w:r>
        <w:rPr>
          <w:rFonts w:hint="eastAsia" w:ascii="仿宋_GB2312" w:eastAsia="仿宋_GB2312"/>
          <w:sz w:val="32"/>
          <w:szCs w:val="32"/>
          <w:lang w:eastAsia="zh-CN"/>
        </w:rPr>
        <w:t>、</w:t>
      </w:r>
      <w:r>
        <w:rPr>
          <w:rFonts w:hint="eastAsia" w:ascii="仿宋_GB2312" w:eastAsia="仿宋_GB2312"/>
          <w:sz w:val="32"/>
          <w:szCs w:val="32"/>
        </w:rPr>
        <w:t>签约等具体事务和签署相关文件。</w:t>
      </w:r>
    </w:p>
    <w:p w14:paraId="26DFC126">
      <w:pPr>
        <w:keepNext w:val="0"/>
        <w:keepLines w:val="0"/>
        <w:pageBreakBefore w:val="0"/>
        <w:kinsoku/>
        <w:wordWrap/>
        <w:overflowPunct/>
        <w:topLinePunct w:val="0"/>
        <w:bidi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我方对被授权人的签名事项负全部责任。</w:t>
      </w:r>
    </w:p>
    <w:p w14:paraId="4E7A8759">
      <w:pPr>
        <w:keepNext w:val="0"/>
        <w:keepLines w:val="0"/>
        <w:pageBreakBefore w:val="0"/>
        <w:kinsoku/>
        <w:wordWrap/>
        <w:overflowPunct/>
        <w:topLinePunct w:val="0"/>
        <w:bidi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3A08B8B3">
      <w:pPr>
        <w:keepNext w:val="0"/>
        <w:keepLines w:val="0"/>
        <w:pageBreakBefore w:val="0"/>
        <w:kinsoku/>
        <w:wordWrap/>
        <w:overflowPunct/>
        <w:topLinePunct w:val="0"/>
        <w:bidi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被授权人无转委托权，特此委托。</w:t>
      </w:r>
    </w:p>
    <w:p w14:paraId="0A88F586">
      <w:pPr>
        <w:keepNext w:val="0"/>
        <w:keepLines w:val="0"/>
        <w:pageBreakBefore w:val="0"/>
        <w:kinsoku/>
        <w:wordWrap/>
        <w:overflowPunct/>
        <w:topLinePunct w:val="0"/>
        <w:bidi w:val="0"/>
        <w:snapToGrid w:val="0"/>
        <w:spacing w:before="156" w:beforeLines="50" w:after="50" w:line="560" w:lineRule="exact"/>
        <w:textAlignment w:val="auto"/>
        <w:rPr>
          <w:rFonts w:ascii="仿宋_GB2312" w:eastAsia="仿宋_GB2312"/>
          <w:sz w:val="32"/>
          <w:szCs w:val="32"/>
        </w:rPr>
      </w:pPr>
    </w:p>
    <w:p w14:paraId="11486107">
      <w:pPr>
        <w:keepNext w:val="0"/>
        <w:keepLines w:val="0"/>
        <w:pageBreakBefore w:val="0"/>
        <w:kinsoku/>
        <w:wordWrap/>
        <w:overflowPunct/>
        <w:topLinePunct w:val="0"/>
        <w:bidi w:val="0"/>
        <w:snapToGrid w:val="0"/>
        <w:spacing w:before="156" w:beforeLines="50" w:after="50" w:line="560" w:lineRule="exact"/>
        <w:textAlignment w:val="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14:paraId="4EB23BF7">
      <w:pPr>
        <w:keepNext w:val="0"/>
        <w:keepLines w:val="0"/>
        <w:pageBreakBefore w:val="0"/>
        <w:kinsoku/>
        <w:wordWrap/>
        <w:overflowPunct/>
        <w:topLinePunct w:val="0"/>
        <w:bidi w:val="0"/>
        <w:snapToGrid w:val="0"/>
        <w:spacing w:before="156" w:beforeLines="50" w:after="50" w:line="560" w:lineRule="exact"/>
        <w:textAlignment w:val="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14:paraId="159650EB">
      <w:pPr>
        <w:keepNext w:val="0"/>
        <w:keepLines w:val="0"/>
        <w:pageBreakBefore w:val="0"/>
        <w:kinsoku/>
        <w:wordWrap/>
        <w:overflowPunct/>
        <w:topLinePunct w:val="0"/>
        <w:bidi w:val="0"/>
        <w:snapToGrid w:val="0"/>
        <w:spacing w:before="156" w:beforeLines="50" w:after="50" w:line="560" w:lineRule="exact"/>
        <w:textAlignment w:val="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14:paraId="2F8227C8">
      <w:pPr>
        <w:keepNext w:val="0"/>
        <w:keepLines w:val="0"/>
        <w:pageBreakBefore w:val="0"/>
        <w:kinsoku/>
        <w:wordWrap/>
        <w:overflowPunct/>
        <w:topLinePunct w:val="0"/>
        <w:bidi w:val="0"/>
        <w:snapToGrid w:val="0"/>
        <w:spacing w:before="156" w:beforeLines="50" w:after="50" w:line="560" w:lineRule="exact"/>
        <w:textAlignment w:val="auto"/>
        <w:rPr>
          <w:rFonts w:ascii="仿宋_GB2312" w:eastAsia="仿宋_GB2312"/>
          <w:sz w:val="32"/>
          <w:szCs w:val="32"/>
        </w:rPr>
      </w:pPr>
      <w:r>
        <w:rPr>
          <w:rFonts w:hint="eastAsia" w:ascii="仿宋_GB2312" w:eastAsia="仿宋_GB2312"/>
          <w:sz w:val="32"/>
          <w:szCs w:val="32"/>
        </w:rPr>
        <w:t>（附被授权人身份证正反双面复印件）</w:t>
      </w:r>
    </w:p>
    <w:p w14:paraId="225F4D61">
      <w:pPr>
        <w:keepNext w:val="0"/>
        <w:keepLines w:val="0"/>
        <w:pageBreakBefore w:val="0"/>
        <w:kinsoku/>
        <w:wordWrap/>
        <w:overflowPunct/>
        <w:topLinePunct w:val="0"/>
        <w:bidi w:val="0"/>
        <w:snapToGrid w:val="0"/>
        <w:spacing w:before="156" w:beforeLines="50" w:after="50" w:line="560" w:lineRule="exact"/>
        <w:jc w:val="right"/>
        <w:textAlignment w:val="auto"/>
        <w:rPr>
          <w:rFonts w:ascii="仿宋_GB2312" w:eastAsia="仿宋_GB2312"/>
          <w:sz w:val="32"/>
          <w:szCs w:val="32"/>
        </w:rPr>
      </w:pPr>
      <w:r>
        <w:rPr>
          <w:rFonts w:hint="eastAsia" w:ascii="仿宋_GB2312" w:eastAsia="仿宋_GB2312"/>
          <w:sz w:val="32"/>
          <w:szCs w:val="32"/>
        </w:rPr>
        <w:t xml:space="preserve">供应商：       （盖章） </w:t>
      </w:r>
    </w:p>
    <w:p w14:paraId="60C9D87F">
      <w:pPr>
        <w:keepNext w:val="0"/>
        <w:keepLines w:val="0"/>
        <w:pageBreakBefore w:val="0"/>
        <w:kinsoku/>
        <w:wordWrap/>
        <w:overflowPunct/>
        <w:topLinePunct w:val="0"/>
        <w:bidi w:val="0"/>
        <w:snapToGrid w:val="0"/>
        <w:spacing w:before="156" w:beforeLines="50" w:after="50" w:line="560" w:lineRule="exact"/>
        <w:jc w:val="right"/>
        <w:textAlignment w:val="auto"/>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7617B67B">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r>
        <w:rPr>
          <w:rFonts w:hint="eastAsia" w:ascii="仿宋_GB2312" w:eastAsia="仿宋_GB2312"/>
          <w:b/>
          <w:sz w:val="32"/>
          <w:szCs w:val="32"/>
        </w:rPr>
        <w:t>附件4：</w:t>
      </w:r>
    </w:p>
    <w:p w14:paraId="5B33676D">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p>
    <w:p w14:paraId="390CE793">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hint="eastAsia" w:ascii="仿宋_GB2312" w:eastAsia="仿宋_GB2312"/>
          <w:b/>
          <w:sz w:val="32"/>
          <w:szCs w:val="32"/>
        </w:rPr>
      </w:pPr>
      <w:r>
        <w:rPr>
          <w:rFonts w:hint="eastAsia" w:ascii="仿宋_GB2312" w:eastAsia="仿宋_GB2312"/>
          <w:b/>
          <w:sz w:val="32"/>
          <w:szCs w:val="32"/>
        </w:rPr>
        <w:t>二次报价函</w:t>
      </w:r>
    </w:p>
    <w:p w14:paraId="13F0E2C2">
      <w:pPr>
        <w:pStyle w:val="2"/>
        <w:keepNext w:val="0"/>
        <w:keepLines w:val="0"/>
        <w:pageBreakBefore w:val="0"/>
        <w:kinsoku/>
        <w:wordWrap/>
        <w:overflowPunct/>
        <w:topLinePunct w:val="0"/>
        <w:bidi w:val="0"/>
        <w:spacing w:line="560" w:lineRule="exact"/>
        <w:textAlignment w:val="auto"/>
      </w:pPr>
    </w:p>
    <w:p w14:paraId="4F06A4E5">
      <w:pPr>
        <w:keepNext w:val="0"/>
        <w:keepLines w:val="0"/>
        <w:pageBreakBefore w:val="0"/>
        <w:kinsoku/>
        <w:wordWrap/>
        <w:overflowPunct/>
        <w:topLinePunct w:val="0"/>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0CBF052C">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2DA5DC1D">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总报价：</w:t>
      </w:r>
    </w:p>
    <w:p w14:paraId="1A6BA69C">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sz w:val="32"/>
          <w:szCs w:val="32"/>
        </w:rPr>
      </w:pPr>
    </w:p>
    <w:p w14:paraId="5F9A6226">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相关补充说明：</w:t>
      </w:r>
    </w:p>
    <w:p w14:paraId="188305DD">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ascii="仿宋_GB2312" w:eastAsia="仿宋_GB2312"/>
          <w:sz w:val="32"/>
          <w:szCs w:val="32"/>
        </w:rPr>
      </w:pPr>
    </w:p>
    <w:p w14:paraId="776E2ECA">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ascii="仿宋_GB2312" w:eastAsia="仿宋_GB2312"/>
          <w:sz w:val="32"/>
          <w:szCs w:val="32"/>
        </w:rPr>
      </w:pPr>
    </w:p>
    <w:p w14:paraId="59E06B25">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ascii="仿宋_GB2312" w:eastAsia="仿宋_GB2312"/>
          <w:sz w:val="32"/>
          <w:szCs w:val="32"/>
        </w:rPr>
      </w:pPr>
    </w:p>
    <w:p w14:paraId="6000330C">
      <w:pPr>
        <w:keepNext w:val="0"/>
        <w:keepLines w:val="0"/>
        <w:pageBreakBefore w:val="0"/>
        <w:kinsoku/>
        <w:wordWrap/>
        <w:overflowPunct/>
        <w:topLinePunct w:val="0"/>
        <w:autoSpaceDE w:val="0"/>
        <w:autoSpaceDN w:val="0"/>
        <w:bidi w:val="0"/>
        <w:adjustRightInd w:val="0"/>
        <w:snapToGrid w:val="0"/>
        <w:spacing w:line="560" w:lineRule="exact"/>
        <w:ind w:firstLine="640" w:firstLineChars="200"/>
        <w:textAlignment w:val="auto"/>
        <w:rPr>
          <w:rFonts w:ascii="仿宋_GB2312" w:eastAsia="仿宋_GB2312"/>
          <w:sz w:val="32"/>
          <w:szCs w:val="32"/>
        </w:rPr>
      </w:pPr>
    </w:p>
    <w:p w14:paraId="0A99A7AB">
      <w:pPr>
        <w:keepNext w:val="0"/>
        <w:keepLines w:val="0"/>
        <w:pageBreakBefore w:val="0"/>
        <w:kinsoku/>
        <w:wordWrap/>
        <w:overflowPunct/>
        <w:topLinePunct w:val="0"/>
        <w:autoSpaceDE w:val="0"/>
        <w:autoSpaceDN w:val="0"/>
        <w:bidi w:val="0"/>
        <w:adjustRightInd w:val="0"/>
        <w:snapToGrid w:val="0"/>
        <w:spacing w:line="560" w:lineRule="exact"/>
        <w:ind w:firstLine="2560" w:firstLineChars="800"/>
        <w:textAlignment w:val="auto"/>
        <w:rPr>
          <w:rFonts w:hint="eastAsia" w:ascii="仿宋_GB2312" w:eastAsia="仿宋_GB2312"/>
          <w:sz w:val="32"/>
          <w:szCs w:val="32"/>
        </w:rPr>
      </w:pPr>
    </w:p>
    <w:p w14:paraId="3C91D6E8">
      <w:pPr>
        <w:keepNext w:val="0"/>
        <w:keepLines w:val="0"/>
        <w:pageBreakBefore w:val="0"/>
        <w:kinsoku/>
        <w:wordWrap/>
        <w:overflowPunct/>
        <w:topLinePunct w:val="0"/>
        <w:autoSpaceDE w:val="0"/>
        <w:autoSpaceDN w:val="0"/>
        <w:bidi w:val="0"/>
        <w:adjustRightInd w:val="0"/>
        <w:snapToGrid w:val="0"/>
        <w:spacing w:line="560" w:lineRule="exact"/>
        <w:ind w:firstLine="2560" w:firstLineChars="800"/>
        <w:textAlignment w:val="auto"/>
        <w:rPr>
          <w:rFonts w:hint="eastAsia" w:ascii="仿宋_GB2312" w:eastAsia="仿宋_GB2312"/>
          <w:sz w:val="32"/>
          <w:szCs w:val="32"/>
          <w:lang w:val="zh-CN" w:eastAsia="zh-CN"/>
        </w:rPr>
      </w:pPr>
      <w:r>
        <w:rPr>
          <w:rFonts w:hint="eastAsia" w:ascii="仿宋_GB2312" w:eastAsia="仿宋_GB2312"/>
          <w:sz w:val="32"/>
          <w:szCs w:val="32"/>
        </w:rPr>
        <w:t>项目名称：</w:t>
      </w:r>
      <w:r>
        <w:rPr>
          <w:rFonts w:hint="eastAsia" w:ascii="仿宋_GB2312" w:eastAsia="仿宋_GB2312"/>
          <w:sz w:val="32"/>
          <w:szCs w:val="32"/>
          <w:lang w:val="zh-CN" w:eastAsia="zh-CN"/>
        </w:rPr>
        <w:t>浙江省公共卫生临床中心</w:t>
      </w:r>
    </w:p>
    <w:p w14:paraId="0140AD30">
      <w:pPr>
        <w:keepNext w:val="0"/>
        <w:keepLines w:val="0"/>
        <w:pageBreakBefore w:val="0"/>
        <w:kinsoku/>
        <w:wordWrap/>
        <w:overflowPunct/>
        <w:topLinePunct w:val="0"/>
        <w:autoSpaceDE w:val="0"/>
        <w:autoSpaceDN w:val="0"/>
        <w:bidi w:val="0"/>
        <w:adjustRightInd w:val="0"/>
        <w:snapToGrid w:val="0"/>
        <w:spacing w:line="560" w:lineRule="exact"/>
        <w:ind w:left="638" w:leftChars="304" w:firstLine="1600" w:firstLineChars="500"/>
        <w:textAlignment w:val="auto"/>
        <w:rPr>
          <w:rFonts w:hint="eastAsia" w:ascii="仿宋_GB2312" w:eastAsia="仿宋_GB2312"/>
          <w:sz w:val="32"/>
          <w:szCs w:val="32"/>
        </w:rPr>
      </w:pPr>
      <w:r>
        <w:rPr>
          <w:rFonts w:hint="eastAsia" w:ascii="仿宋_GB2312" w:eastAsia="仿宋_GB2312"/>
          <w:sz w:val="32"/>
          <w:szCs w:val="32"/>
          <w:lang w:val="zh-CN" w:eastAsia="zh-CN"/>
        </w:rPr>
        <w:t>（浙江大学医学院附属第一医院钱塘院区）二期建设工程民用建筑项目节能审查和能效测评编制</w:t>
      </w:r>
    </w:p>
    <w:p w14:paraId="5FE615E1">
      <w:pPr>
        <w:keepNext w:val="0"/>
        <w:keepLines w:val="0"/>
        <w:pageBreakBefore w:val="0"/>
        <w:kinsoku/>
        <w:wordWrap/>
        <w:overflowPunct/>
        <w:topLinePunct w:val="0"/>
        <w:autoSpaceDE w:val="0"/>
        <w:autoSpaceDN w:val="0"/>
        <w:bidi w:val="0"/>
        <w:adjustRightInd w:val="0"/>
        <w:snapToGrid w:val="0"/>
        <w:spacing w:line="560" w:lineRule="exact"/>
        <w:ind w:firstLine="2560" w:firstLineChars="800"/>
        <w:textAlignment w:val="auto"/>
        <w:rPr>
          <w:rFonts w:ascii="仿宋_GB2312" w:eastAsia="仿宋_GB2312"/>
          <w:sz w:val="32"/>
          <w:szCs w:val="32"/>
        </w:rPr>
      </w:pPr>
      <w:r>
        <w:rPr>
          <w:rFonts w:hint="eastAsia" w:ascii="仿宋_GB2312" w:eastAsia="仿宋_GB2312"/>
          <w:sz w:val="32"/>
          <w:szCs w:val="32"/>
        </w:rPr>
        <w:t>单位名称（盖章）：</w:t>
      </w:r>
    </w:p>
    <w:p w14:paraId="5F732635">
      <w:pPr>
        <w:keepNext w:val="0"/>
        <w:keepLines w:val="0"/>
        <w:pageBreakBefore w:val="0"/>
        <w:kinsoku/>
        <w:wordWrap/>
        <w:overflowPunct/>
        <w:topLinePunct w:val="0"/>
        <w:autoSpaceDE w:val="0"/>
        <w:autoSpaceDN w:val="0"/>
        <w:bidi w:val="0"/>
        <w:adjustRightInd w:val="0"/>
        <w:snapToGrid w:val="0"/>
        <w:spacing w:line="560" w:lineRule="exact"/>
        <w:ind w:firstLine="2560" w:firstLineChars="800"/>
        <w:jc w:val="left"/>
        <w:textAlignment w:val="auto"/>
        <w:rPr>
          <w:rFonts w:ascii="仿宋_GB2312" w:eastAsia="仿宋_GB2312"/>
          <w:sz w:val="32"/>
          <w:szCs w:val="32"/>
        </w:rPr>
      </w:pPr>
      <w:r>
        <w:rPr>
          <w:rFonts w:hint="eastAsia" w:ascii="仿宋_GB2312" w:eastAsia="仿宋_GB2312"/>
          <w:sz w:val="32"/>
          <w:szCs w:val="32"/>
        </w:rPr>
        <w:t xml:space="preserve">授权代表（签名）： </w:t>
      </w:r>
    </w:p>
    <w:p w14:paraId="333666BC">
      <w:pPr>
        <w:keepNext w:val="0"/>
        <w:keepLines w:val="0"/>
        <w:pageBreakBefore w:val="0"/>
        <w:kinsoku/>
        <w:wordWrap/>
        <w:overflowPunct/>
        <w:topLinePunct w:val="0"/>
        <w:autoSpaceDE w:val="0"/>
        <w:autoSpaceDN w:val="0"/>
        <w:bidi w:val="0"/>
        <w:adjustRightInd w:val="0"/>
        <w:snapToGrid w:val="0"/>
        <w:spacing w:line="560" w:lineRule="exact"/>
        <w:ind w:firstLine="2560" w:firstLineChars="800"/>
        <w:jc w:val="left"/>
        <w:textAlignment w:val="auto"/>
        <w:rPr>
          <w:rFonts w:ascii="仿宋_GB2312" w:eastAsia="仿宋_GB2312"/>
          <w:sz w:val="32"/>
          <w:szCs w:val="32"/>
        </w:rPr>
      </w:pPr>
      <w:r>
        <w:rPr>
          <w:rFonts w:hint="eastAsia" w:ascii="仿宋_GB2312" w:eastAsia="仿宋_GB2312"/>
          <w:sz w:val="32"/>
          <w:szCs w:val="32"/>
        </w:rPr>
        <w:t>授权代表联系电话：</w:t>
      </w:r>
    </w:p>
    <w:p w14:paraId="5A2E8E66">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right"/>
        <w:textAlignment w:val="auto"/>
        <w:rPr>
          <w:rFonts w:ascii="仿宋_GB2312" w:eastAsia="仿宋_GB2312"/>
          <w:sz w:val="32"/>
          <w:szCs w:val="32"/>
        </w:rPr>
      </w:pPr>
    </w:p>
    <w:p w14:paraId="78E8D1CE">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right"/>
        <w:textAlignment w:val="auto"/>
        <w:rPr>
          <w:rFonts w:hint="eastAsia" w:ascii="仿宋_GB2312" w:eastAsia="仿宋_GB2312"/>
          <w:sz w:val="32"/>
          <w:szCs w:val="32"/>
        </w:rPr>
      </w:pPr>
      <w:r>
        <w:rPr>
          <w:rFonts w:hint="eastAsia" w:ascii="仿宋_GB2312" w:eastAsia="仿宋_GB2312"/>
          <w:sz w:val="32"/>
          <w:szCs w:val="32"/>
        </w:rPr>
        <w:t xml:space="preserve">   年    月    日</w:t>
      </w:r>
    </w:p>
    <w:p w14:paraId="03A096CE">
      <w:pPr>
        <w:pStyle w:val="2"/>
        <w:rPr>
          <w:rFonts w:hint="eastAsia" w:ascii="仿宋_GB2312" w:eastAsia="仿宋_GB2312"/>
          <w:sz w:val="32"/>
          <w:szCs w:val="32"/>
        </w:rPr>
      </w:pPr>
    </w:p>
    <w:p w14:paraId="5C304FDB">
      <w:pPr>
        <w:pStyle w:val="2"/>
        <w:rPr>
          <w:rFonts w:hint="eastAsia" w:ascii="仿宋_GB2312" w:eastAsia="仿宋_GB2312"/>
          <w:sz w:val="32"/>
          <w:szCs w:val="32"/>
        </w:rPr>
      </w:pPr>
    </w:p>
    <w:p w14:paraId="42DEC7E5">
      <w:pPr>
        <w:pStyle w:val="2"/>
        <w:rPr>
          <w:rFonts w:hint="eastAsia" w:ascii="仿宋_GB2312" w:eastAsia="仿宋_GB2312"/>
          <w:sz w:val="32"/>
          <w:szCs w:val="32"/>
        </w:rPr>
      </w:pPr>
    </w:p>
    <w:p w14:paraId="5E216E37">
      <w:pPr>
        <w:pStyle w:val="2"/>
        <w:rPr>
          <w:rFonts w:hint="eastAsia" w:ascii="仿宋_GB2312" w:eastAsia="仿宋_GB2312"/>
          <w:sz w:val="32"/>
          <w:szCs w:val="32"/>
        </w:rPr>
      </w:pPr>
    </w:p>
    <w:p w14:paraId="0004BB6E">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5</w:t>
      </w:r>
      <w:r>
        <w:rPr>
          <w:rFonts w:hint="eastAsia" w:ascii="仿宋_GB2312" w:eastAsia="仿宋_GB2312"/>
          <w:b/>
          <w:sz w:val="32"/>
          <w:szCs w:val="32"/>
        </w:rPr>
        <w:t>：</w:t>
      </w:r>
    </w:p>
    <w:p w14:paraId="04CBB348">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其他资料</w:t>
      </w:r>
    </w:p>
    <w:p w14:paraId="2EFE4632">
      <w:pPr>
        <w:keepNext w:val="0"/>
        <w:keepLines w:val="0"/>
        <w:pageBreakBefore w:val="0"/>
        <w:kinsoku/>
        <w:wordWrap/>
        <w:overflowPunct/>
        <w:topLinePunct w:val="0"/>
        <w:autoSpaceDE w:val="0"/>
        <w:autoSpaceDN w:val="0"/>
        <w:bidi w:val="0"/>
        <w:adjustRightInd w:val="0"/>
        <w:snapToGrid w:val="0"/>
        <w:spacing w:line="560" w:lineRule="exact"/>
        <w:jc w:val="center"/>
        <w:textAlignment w:val="auto"/>
        <w:rPr>
          <w:rFonts w:hint="default" w:ascii="仿宋_GB2312" w:eastAsia="仿宋_GB2312"/>
          <w:b/>
          <w:sz w:val="32"/>
          <w:szCs w:val="32"/>
          <w:lang w:val="en-US" w:eastAsia="zh-CN"/>
        </w:rPr>
      </w:pPr>
      <w:r>
        <w:rPr>
          <w:rFonts w:hint="eastAsia" w:ascii="仿宋_GB2312" w:eastAsia="仿宋_GB2312"/>
          <w:b/>
          <w:sz w:val="32"/>
          <w:szCs w:val="32"/>
          <w:lang w:val="en-US" w:eastAsia="zh-CN"/>
        </w:rPr>
        <w:t>（包括但不限于企业营业执照、资质证书、企业简介、拟派项目人员等）</w:t>
      </w:r>
    </w:p>
    <w:p w14:paraId="382F8ED0">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hAnsi="宋体" w:eastAsia="仿宋_GB2312"/>
          <w:sz w:val="28"/>
          <w:szCs w:val="30"/>
          <w:lang w:val="zh-CN"/>
        </w:rPr>
      </w:pPr>
    </w:p>
    <w:p w14:paraId="49F3C4BF">
      <w:pPr>
        <w:keepNext w:val="0"/>
        <w:keepLines w:val="0"/>
        <w:pageBreakBefore w:val="0"/>
        <w:kinsoku/>
        <w:wordWrap/>
        <w:overflowPunct/>
        <w:topLinePunct w:val="0"/>
        <w:autoSpaceDE w:val="0"/>
        <w:autoSpaceDN w:val="0"/>
        <w:bidi w:val="0"/>
        <w:adjustRightInd w:val="0"/>
        <w:snapToGrid w:val="0"/>
        <w:spacing w:line="560" w:lineRule="exact"/>
        <w:textAlignment w:val="auto"/>
        <w:rPr>
          <w:rFonts w:ascii="仿宋_GB2312" w:hAnsi="宋体" w:eastAsia="仿宋_GB2312"/>
          <w:sz w:val="28"/>
          <w:szCs w:val="30"/>
          <w:lang w:val="zh-CN"/>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6F01A02D">
            <w:pPr>
              <w:pStyle w:val="4"/>
              <w:jc w:val="center"/>
            </w:pPr>
            <w:r>
              <w:rPr>
                <w:lang w:val="zh-CN"/>
              </w:rPr>
              <w:t xml:space="preserve"> </w:t>
            </w:r>
          </w:p>
        </w:sdtContent>
      </w:sdt>
    </w:sdtContent>
  </w:sdt>
  <w:p w14:paraId="7C18B9E1">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3C269">
    <w:pPr>
      <w:widowControl w:val="0"/>
      <w:snapToGrid w:val="0"/>
      <w:jc w:val="center"/>
      <w:rPr>
        <w:rFonts w:ascii="Times New Roman" w:hAnsi="Times New Roman" w:eastAsia="宋体" w:cs="Times New Roman"/>
        <w:kern w:val="2"/>
        <w:sz w:val="18"/>
        <w:szCs w:val="18"/>
        <w:lang w:val="en-US" w:eastAsia="zh-CN" w:bidi="ar-SA"/>
      </w:rPr>
    </w:pPr>
  </w:p>
  <w:p w14:paraId="2D5FC214">
    <w:pPr>
      <w:widowControl w:val="0"/>
      <w:snapToGrid w:val="0"/>
      <w:jc w:val="left"/>
      <w:rPr>
        <w:rFonts w:ascii="Times New Roman" w:hAnsi="Times New Roman"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6CD4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02C1E">
    <w:pPr>
      <w:pStyle w:val="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FC483C"/>
    <w:multiLevelType w:val="singleLevel"/>
    <w:tmpl w:val="57FC483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54E0032"/>
    <w:rsid w:val="06EB7EB5"/>
    <w:rsid w:val="094931B5"/>
    <w:rsid w:val="0A9C7D1B"/>
    <w:rsid w:val="0D3A1F53"/>
    <w:rsid w:val="116522F5"/>
    <w:rsid w:val="11DD6629"/>
    <w:rsid w:val="122D7C33"/>
    <w:rsid w:val="168F1DC9"/>
    <w:rsid w:val="195E64EA"/>
    <w:rsid w:val="19F85470"/>
    <w:rsid w:val="19FE5F86"/>
    <w:rsid w:val="1F777407"/>
    <w:rsid w:val="2185105B"/>
    <w:rsid w:val="22A26DD5"/>
    <w:rsid w:val="24623FB1"/>
    <w:rsid w:val="28B61F81"/>
    <w:rsid w:val="294B6426"/>
    <w:rsid w:val="2BC52459"/>
    <w:rsid w:val="2D1E6D44"/>
    <w:rsid w:val="2E51235A"/>
    <w:rsid w:val="2F5E4B4E"/>
    <w:rsid w:val="30FB3BB9"/>
    <w:rsid w:val="32221066"/>
    <w:rsid w:val="335C7DF0"/>
    <w:rsid w:val="38004C00"/>
    <w:rsid w:val="3DB63E8D"/>
    <w:rsid w:val="3F492545"/>
    <w:rsid w:val="418D1221"/>
    <w:rsid w:val="468E61A3"/>
    <w:rsid w:val="4C1861F7"/>
    <w:rsid w:val="4C991183"/>
    <w:rsid w:val="4DE33977"/>
    <w:rsid w:val="50626680"/>
    <w:rsid w:val="5068019F"/>
    <w:rsid w:val="5238644F"/>
    <w:rsid w:val="529A0378"/>
    <w:rsid w:val="53764934"/>
    <w:rsid w:val="59DB0274"/>
    <w:rsid w:val="5C5B73DB"/>
    <w:rsid w:val="5FA8593A"/>
    <w:rsid w:val="61612C62"/>
    <w:rsid w:val="6505434A"/>
    <w:rsid w:val="652C7357"/>
    <w:rsid w:val="667B4A62"/>
    <w:rsid w:val="677139BC"/>
    <w:rsid w:val="67D90EF1"/>
    <w:rsid w:val="68E51EE8"/>
    <w:rsid w:val="694C30C1"/>
    <w:rsid w:val="6F0F2046"/>
    <w:rsid w:val="72FE2D27"/>
    <w:rsid w:val="735A7977"/>
    <w:rsid w:val="7A83241B"/>
    <w:rsid w:val="7DB163E5"/>
    <w:rsid w:val="7DC735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qFormat/>
    <w:uiPriority w:val="0"/>
    <w:pPr>
      <w:ind w:left="2500" w:leftChars="2500"/>
    </w:pPr>
    <w:rPr>
      <w:sz w:val="44"/>
      <w:szCs w:val="44"/>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日期 Char"/>
    <w:basedOn w:val="8"/>
    <w:link w:val="3"/>
    <w:qFormat/>
    <w:uiPriority w:val="0"/>
    <w:rPr>
      <w:rFonts w:ascii="Times New Roman" w:hAnsi="Times New Roman" w:eastAsia="宋体" w:cs="Times New Roman"/>
      <w:sz w:val="44"/>
      <w:szCs w:val="44"/>
      <w:lang w:val="zh-CN"/>
    </w:rPr>
  </w:style>
  <w:style w:type="paragraph" w:customStyle="1" w:styleId="13">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2255</Words>
  <Characters>2358</Characters>
  <Lines>10</Lines>
  <Paragraphs>2</Paragraphs>
  <TotalTime>72</TotalTime>
  <ScaleCrop>false</ScaleCrop>
  <LinksUpToDate>false</LinksUpToDate>
  <CharactersWithSpaces>2686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2022-06-07T07:45:00Z</dcterms:created>
  <dc:creator>陈希琳</dc:creator>
  <cp:lastModifiedBy>小怡丷小伊（信泓）</cp:lastModifiedBy>
  <cp:lastPrinted>2020-09-01T07:08:00Z</cp:lastPrinted>
  <dcterms:modified xsi:type="dcterms:W3CDTF">2025-03-10T05:36:49Z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EB8CB6680C224AF088BF50AED914894D</vt:lpwstr>
  </property>
  <property fmtid="{D5CDD505-2E9C-101B-9397-08002B2CF9AE}" pid="4" name="KSOTemplateDocerSaveRecord">
    <vt:lpwstr>eyJoZGlkIjoiMmE5MTY4YmNiMTFkNDkzZjlkOGNkNjc4YjNhOGFjMzAiLCJ1c2VySWQiOiIyODE1MTgxOTMifQ==</vt:lpwstr>
  </property>
</Properties>
</file>