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68A3FF">
      <w:pPr>
        <w:pStyle w:val="2"/>
        <w:spacing w:before="0"/>
        <w:jc w:val="center"/>
        <w:rPr>
          <w:rFonts w:hint="eastAsia" w:ascii="黑体" w:hAnsi="黑体" w:eastAsia="黑体"/>
          <w:b/>
          <w:bCs/>
          <w:color w:val="auto"/>
          <w:sz w:val="40"/>
          <w:szCs w:val="40"/>
        </w:rPr>
      </w:pPr>
      <w:r>
        <w:rPr>
          <w:rFonts w:hint="eastAsia" w:ascii="黑体" w:hAnsi="黑体" w:eastAsia="黑体"/>
          <w:b/>
          <w:bCs/>
          <w:color w:val="auto"/>
          <w:sz w:val="40"/>
          <w:szCs w:val="40"/>
          <w:lang w:val="en-US" w:eastAsia="zh-CN"/>
        </w:rPr>
        <w:t>耗材/试剂</w:t>
      </w:r>
      <w:r>
        <w:rPr>
          <w:rFonts w:hint="eastAsia" w:ascii="黑体" w:hAnsi="黑体" w:eastAsia="黑体"/>
          <w:b/>
          <w:bCs/>
          <w:color w:val="auto"/>
          <w:sz w:val="40"/>
          <w:szCs w:val="40"/>
        </w:rPr>
        <w:t>采购需求</w:t>
      </w:r>
    </w:p>
    <w:p w14:paraId="688E70D0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  <w:t>总体要求：</w:t>
      </w:r>
    </w:p>
    <w:p w14:paraId="2CB371EF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  <w:t>1.本次议价的医用耗材需符合临床使用的基本标准。</w:t>
      </w:r>
    </w:p>
    <w:p w14:paraId="5CDB0A6A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  <w:t>2.供货期间，如原中标企业无法提供有效的授权文件，或有效执行浙江省医保“两定机构医疗保障信息平台”的规程，我院有权终止该企业供货资格。</w:t>
      </w:r>
    </w:p>
    <w:p w14:paraId="456B601D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  <w:t>3.其他要求：</w:t>
      </w:r>
    </w:p>
    <w:p w14:paraId="5F2BC991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  <w:t>（1）按照医院要求持续提供技术培训服务和标准操作规程。</w:t>
      </w:r>
    </w:p>
    <w:p w14:paraId="333037DA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  <w:t>（2）提供整个检测项目所需要的专用试剂、质控品和特殊耗材。</w:t>
      </w:r>
    </w:p>
    <w:p w14:paraId="32CBCDCE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  <w:t>（3）按需补充质控、试剂验证、留样再测和复查所需的损耗。</w:t>
      </w:r>
    </w:p>
    <w:p w14:paraId="3896F820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  <w:t>（4）提供整个检测系统所需要全部设备清单和必要的辅助设备。</w:t>
      </w:r>
    </w:p>
    <w:p w14:paraId="15FF5BC4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  <w:t>（5）按医院要求进行软件设置，提供必要的数据接口用于内部数据传输。</w:t>
      </w:r>
    </w:p>
    <w:p w14:paraId="4AD3C659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  <w:t>（6）按医院要求时长协助数据分析培训。</w:t>
      </w:r>
    </w:p>
    <w:p w14:paraId="69306A55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  <w:t>（7）提供数据安全承诺书，承诺不将所有检测数据、质控数据、检测报告向其他任何单位或个人泄露，不得用于任何其它用途。</w:t>
      </w:r>
    </w:p>
    <w:p w14:paraId="0F2E3481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  <w:t>具体需求：</w:t>
      </w:r>
    </w:p>
    <w:tbl>
      <w:tblPr>
        <w:tblStyle w:val="18"/>
        <w:tblW w:w="94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1718"/>
        <w:gridCol w:w="2359"/>
        <w:gridCol w:w="4573"/>
      </w:tblGrid>
      <w:tr w14:paraId="37AD4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83" w:type="dxa"/>
            <w:shd w:val="clear" w:color="auto" w:fill="D0CECE" w:themeFill="background2" w:themeFillShade="E6"/>
            <w:vAlign w:val="center"/>
          </w:tcPr>
          <w:p w14:paraId="00EB4D37">
            <w:pPr>
              <w:spacing w:after="0" w:line="240" w:lineRule="auto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序号</w:t>
            </w:r>
          </w:p>
        </w:tc>
        <w:tc>
          <w:tcPr>
            <w:tcW w:w="1718" w:type="dxa"/>
            <w:shd w:val="clear" w:color="auto" w:fill="D0CECE" w:themeFill="background2" w:themeFillShade="E6"/>
            <w:vAlign w:val="center"/>
          </w:tcPr>
          <w:p w14:paraId="26641EB1">
            <w:pPr>
              <w:spacing w:after="0" w:line="240" w:lineRule="auto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产品名称</w:t>
            </w:r>
          </w:p>
        </w:tc>
        <w:tc>
          <w:tcPr>
            <w:tcW w:w="2359" w:type="dxa"/>
            <w:shd w:val="clear" w:color="auto" w:fill="D0CECE" w:themeFill="background2" w:themeFillShade="E6"/>
            <w:vAlign w:val="center"/>
          </w:tcPr>
          <w:p w14:paraId="147B6DAA">
            <w:pPr>
              <w:spacing w:after="0" w:line="240" w:lineRule="auto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用途</w:t>
            </w:r>
          </w:p>
        </w:tc>
        <w:tc>
          <w:tcPr>
            <w:tcW w:w="4573" w:type="dxa"/>
            <w:shd w:val="clear" w:color="auto" w:fill="D0CECE" w:themeFill="background2" w:themeFillShade="E6"/>
            <w:vAlign w:val="center"/>
          </w:tcPr>
          <w:p w14:paraId="35545514">
            <w:pPr>
              <w:spacing w:after="0" w:line="240" w:lineRule="auto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参数要求</w:t>
            </w:r>
          </w:p>
        </w:tc>
      </w:tr>
      <w:tr w14:paraId="71162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  <w:jc w:val="center"/>
        </w:trPr>
        <w:tc>
          <w:tcPr>
            <w:tcW w:w="783" w:type="dxa"/>
            <w:shd w:val="clear" w:color="auto" w:fill="auto"/>
            <w:vAlign w:val="center"/>
          </w:tcPr>
          <w:p w14:paraId="44B4E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1718" w:type="dxa"/>
            <w:shd w:val="clear" w:color="auto" w:fill="FFFFFF"/>
            <w:vAlign w:val="center"/>
          </w:tcPr>
          <w:p w14:paraId="0C8D7819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CD45流式检测试剂</w:t>
            </w:r>
          </w:p>
        </w:tc>
        <w:tc>
          <w:tcPr>
            <w:tcW w:w="2359" w:type="dxa"/>
            <w:shd w:val="clear" w:color="auto" w:fill="FFFFFF"/>
            <w:vAlign w:val="center"/>
          </w:tcPr>
          <w:p w14:paraId="266B4B79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用于匹配质谱流式细胞仪检测人体生物标本中CD45的表达</w:t>
            </w:r>
          </w:p>
        </w:tc>
        <w:tc>
          <w:tcPr>
            <w:tcW w:w="4573" w:type="dxa"/>
            <w:shd w:val="clear" w:color="auto" w:fill="FFFFFF"/>
            <w:vAlign w:val="center"/>
          </w:tcPr>
          <w:p w14:paraId="53AFE7A4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（1）质谱流式法，同满足流式侧向散射光组合解决方案；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（2）检测样本类型：外周血和组织；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（3）可根据不同临床需求进行试剂组合；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（4）配套质谱流式分析仪及分析软件；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 xml:space="preserve">（5）单位：T/盒 </w:t>
            </w:r>
          </w:p>
        </w:tc>
      </w:tr>
      <w:tr w14:paraId="550BF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  <w:jc w:val="center"/>
        </w:trPr>
        <w:tc>
          <w:tcPr>
            <w:tcW w:w="783" w:type="dxa"/>
            <w:shd w:val="clear" w:color="auto" w:fill="auto"/>
            <w:vAlign w:val="center"/>
          </w:tcPr>
          <w:p w14:paraId="10E43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1718" w:type="dxa"/>
            <w:shd w:val="clear" w:color="auto" w:fill="FFFFFF"/>
            <w:vAlign w:val="center"/>
          </w:tcPr>
          <w:p w14:paraId="4CA390C9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CD56流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式检测试剂</w:t>
            </w:r>
          </w:p>
        </w:tc>
        <w:tc>
          <w:tcPr>
            <w:tcW w:w="2359" w:type="dxa"/>
            <w:shd w:val="clear" w:color="auto" w:fill="FFFFFF"/>
            <w:vAlign w:val="center"/>
          </w:tcPr>
          <w:p w14:paraId="3E2F1689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用于匹配质谱流式细胞仪，用于检测人体生物标本中CD56的表达</w:t>
            </w:r>
          </w:p>
        </w:tc>
        <w:tc>
          <w:tcPr>
            <w:tcW w:w="4573" w:type="dxa"/>
            <w:shd w:val="clear" w:color="auto" w:fill="FFFFFF"/>
            <w:vAlign w:val="center"/>
          </w:tcPr>
          <w:p w14:paraId="1EA31E59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（1）质谱流式法，同满足流式侧向散射光组合解决方案；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（2）检测样本类型：外周血和组织；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（3）可根据不同临床需求进行试剂组合；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（4）配套质谱流式分析仪及分析软件；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 xml:space="preserve">（5）单位：T/盒 </w:t>
            </w:r>
          </w:p>
        </w:tc>
      </w:tr>
      <w:tr w14:paraId="39B91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  <w:jc w:val="center"/>
        </w:trPr>
        <w:tc>
          <w:tcPr>
            <w:tcW w:w="783" w:type="dxa"/>
            <w:shd w:val="clear" w:color="auto" w:fill="auto"/>
            <w:vAlign w:val="center"/>
          </w:tcPr>
          <w:p w14:paraId="2E3C6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</w:t>
            </w:r>
          </w:p>
        </w:tc>
        <w:tc>
          <w:tcPr>
            <w:tcW w:w="1718" w:type="dxa"/>
            <w:shd w:val="clear" w:color="auto" w:fill="FFFFFF"/>
            <w:vAlign w:val="center"/>
          </w:tcPr>
          <w:p w14:paraId="1F446565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CD14流式检测试剂</w:t>
            </w:r>
          </w:p>
        </w:tc>
        <w:tc>
          <w:tcPr>
            <w:tcW w:w="2359" w:type="dxa"/>
            <w:shd w:val="clear" w:color="auto" w:fill="FFFFFF"/>
            <w:vAlign w:val="center"/>
          </w:tcPr>
          <w:p w14:paraId="4E5439BF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用于匹配质谱流式细胞仪，用于检测人体生物标本中CD14的表达</w:t>
            </w:r>
          </w:p>
        </w:tc>
        <w:tc>
          <w:tcPr>
            <w:tcW w:w="4573" w:type="dxa"/>
            <w:shd w:val="clear" w:color="auto" w:fill="FFFFFF"/>
            <w:vAlign w:val="center"/>
          </w:tcPr>
          <w:p w14:paraId="49921797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（1）质谱流式法，同满足流式侧向散射光组合解决方案；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（2）检测样本类型：外周血和组织；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（3）可根据不同临床需求进行试剂组合；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（4）配套质谱流式分析仪及分析软件；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 xml:space="preserve">（5）单位：T/盒 </w:t>
            </w:r>
          </w:p>
        </w:tc>
      </w:tr>
      <w:tr w14:paraId="161E2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  <w:jc w:val="center"/>
        </w:trPr>
        <w:tc>
          <w:tcPr>
            <w:tcW w:w="783" w:type="dxa"/>
            <w:shd w:val="clear" w:color="auto" w:fill="auto"/>
            <w:vAlign w:val="center"/>
          </w:tcPr>
          <w:p w14:paraId="1D870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</w:t>
            </w:r>
          </w:p>
        </w:tc>
        <w:tc>
          <w:tcPr>
            <w:tcW w:w="1718" w:type="dxa"/>
            <w:shd w:val="clear" w:color="auto" w:fill="FFFFFF"/>
            <w:vAlign w:val="center"/>
          </w:tcPr>
          <w:p w14:paraId="7D5D8D7B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CD33流式检测试剂</w:t>
            </w:r>
          </w:p>
        </w:tc>
        <w:tc>
          <w:tcPr>
            <w:tcW w:w="2359" w:type="dxa"/>
            <w:shd w:val="clear" w:color="auto" w:fill="FFFFFF"/>
            <w:vAlign w:val="center"/>
          </w:tcPr>
          <w:p w14:paraId="266F180C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用于匹配质谱流式细胞仪，用于检测人体生物标本中CD33的表达</w:t>
            </w:r>
          </w:p>
        </w:tc>
        <w:tc>
          <w:tcPr>
            <w:tcW w:w="4573" w:type="dxa"/>
            <w:shd w:val="clear" w:color="auto" w:fill="FFFFFF"/>
            <w:vAlign w:val="center"/>
          </w:tcPr>
          <w:p w14:paraId="4DC2A6E8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（1）质谱流式法，同满足流式侧向散射光组合解决方案；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（2）检测样本类型：外周血和组织；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（3）可根据不同临床需求进行试剂组合；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（4）配套质谱流式分析仪及分析软件；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 xml:space="preserve">（5）单位：T/盒 </w:t>
            </w:r>
          </w:p>
        </w:tc>
      </w:tr>
      <w:tr w14:paraId="7347D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  <w:jc w:val="center"/>
        </w:trPr>
        <w:tc>
          <w:tcPr>
            <w:tcW w:w="783" w:type="dxa"/>
            <w:shd w:val="clear" w:color="auto" w:fill="auto"/>
            <w:vAlign w:val="center"/>
          </w:tcPr>
          <w:p w14:paraId="2F65F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1718" w:type="dxa"/>
            <w:shd w:val="clear" w:color="auto" w:fill="FFFFFF"/>
            <w:vAlign w:val="center"/>
          </w:tcPr>
          <w:p w14:paraId="5D189690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CD3流式检测试剂</w:t>
            </w:r>
          </w:p>
        </w:tc>
        <w:tc>
          <w:tcPr>
            <w:tcW w:w="2359" w:type="dxa"/>
            <w:shd w:val="clear" w:color="auto" w:fill="FFFFFF"/>
            <w:vAlign w:val="center"/>
          </w:tcPr>
          <w:p w14:paraId="70FB24D3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用于匹配质谱流式细胞仪，用于检测人体生物标本中CD3的表达</w:t>
            </w:r>
          </w:p>
        </w:tc>
        <w:tc>
          <w:tcPr>
            <w:tcW w:w="4573" w:type="dxa"/>
            <w:shd w:val="clear" w:color="auto" w:fill="FFFFFF"/>
            <w:vAlign w:val="center"/>
          </w:tcPr>
          <w:p w14:paraId="7B055C39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（1）质谱流式法，同满足流式侧向散射光组合解决方案；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（2）检测样本类型：外周血和组织；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（3）可根据不同临床需求进行试剂组合；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（4）配套质谱流式分析仪及分析软件；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 xml:space="preserve">（5）单位：T/盒 </w:t>
            </w:r>
          </w:p>
        </w:tc>
      </w:tr>
      <w:tr w14:paraId="1B215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  <w:jc w:val="center"/>
        </w:trPr>
        <w:tc>
          <w:tcPr>
            <w:tcW w:w="783" w:type="dxa"/>
            <w:shd w:val="clear" w:color="auto" w:fill="auto"/>
            <w:vAlign w:val="center"/>
          </w:tcPr>
          <w:p w14:paraId="4C885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</w:t>
            </w:r>
          </w:p>
        </w:tc>
        <w:tc>
          <w:tcPr>
            <w:tcW w:w="1718" w:type="dxa"/>
            <w:shd w:val="clear" w:color="auto" w:fill="FFFFFF"/>
            <w:vAlign w:val="center"/>
          </w:tcPr>
          <w:p w14:paraId="42768BA3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CD8流式检测试剂</w:t>
            </w:r>
          </w:p>
        </w:tc>
        <w:tc>
          <w:tcPr>
            <w:tcW w:w="2359" w:type="dxa"/>
            <w:shd w:val="clear" w:color="auto" w:fill="FFFFFF"/>
            <w:vAlign w:val="center"/>
          </w:tcPr>
          <w:p w14:paraId="65AA569E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用于匹配质谱流式细胞仪，用于检测人体生物标本中CD8的表达</w:t>
            </w:r>
          </w:p>
        </w:tc>
        <w:tc>
          <w:tcPr>
            <w:tcW w:w="4573" w:type="dxa"/>
            <w:shd w:val="clear" w:color="auto" w:fill="FFFFFF"/>
            <w:vAlign w:val="center"/>
          </w:tcPr>
          <w:p w14:paraId="0729FD08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（1）质谱流式法，同满足流式侧向散射光组合解决方案；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（2）检测样本类型：外周血和组织；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（3）可根据不同临床需求进行试剂组合；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（4）配套质谱流式分析仪及分析软件；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 xml:space="preserve">（5）单位：T/盒 </w:t>
            </w:r>
          </w:p>
        </w:tc>
      </w:tr>
      <w:tr w14:paraId="1D2E5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  <w:jc w:val="center"/>
        </w:trPr>
        <w:tc>
          <w:tcPr>
            <w:tcW w:w="783" w:type="dxa"/>
            <w:shd w:val="clear" w:color="auto" w:fill="auto"/>
            <w:vAlign w:val="center"/>
          </w:tcPr>
          <w:p w14:paraId="1A7E4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</w:t>
            </w:r>
          </w:p>
        </w:tc>
        <w:tc>
          <w:tcPr>
            <w:tcW w:w="1718" w:type="dxa"/>
            <w:shd w:val="clear" w:color="auto" w:fill="FFFFFF"/>
            <w:vAlign w:val="center"/>
          </w:tcPr>
          <w:p w14:paraId="39C93CA0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HLA-DR流式检测试剂</w:t>
            </w:r>
          </w:p>
        </w:tc>
        <w:tc>
          <w:tcPr>
            <w:tcW w:w="2359" w:type="dxa"/>
            <w:shd w:val="clear" w:color="auto" w:fill="FFFFFF"/>
            <w:vAlign w:val="center"/>
          </w:tcPr>
          <w:p w14:paraId="26BA976A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用于匹配质谱流式细胞仪，用于检测人体生物标本中HLA-DR的表达</w:t>
            </w:r>
          </w:p>
        </w:tc>
        <w:tc>
          <w:tcPr>
            <w:tcW w:w="4573" w:type="dxa"/>
            <w:shd w:val="clear" w:color="auto" w:fill="FFFFFF"/>
            <w:vAlign w:val="center"/>
          </w:tcPr>
          <w:p w14:paraId="7BEB1CB9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（1）质谱流式法，同满足流式侧向散射光组合解决方案；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（2）检测样本类型：外周血和组织；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（3）可根据不同临床需求进行试剂组合；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（4）配套质谱流式分析仪及分析软件；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 xml:space="preserve">（5）单位：T/盒 </w:t>
            </w:r>
          </w:p>
        </w:tc>
      </w:tr>
      <w:tr w14:paraId="5364C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  <w:jc w:val="center"/>
        </w:trPr>
        <w:tc>
          <w:tcPr>
            <w:tcW w:w="783" w:type="dxa"/>
            <w:shd w:val="clear" w:color="auto" w:fill="auto"/>
            <w:vAlign w:val="center"/>
          </w:tcPr>
          <w:p w14:paraId="24952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</w:t>
            </w:r>
          </w:p>
        </w:tc>
        <w:tc>
          <w:tcPr>
            <w:tcW w:w="1718" w:type="dxa"/>
            <w:shd w:val="clear" w:color="auto" w:fill="FFFFFF"/>
            <w:vAlign w:val="center"/>
          </w:tcPr>
          <w:p w14:paraId="67C425D8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CD4流式检测试剂</w:t>
            </w:r>
          </w:p>
        </w:tc>
        <w:tc>
          <w:tcPr>
            <w:tcW w:w="2359" w:type="dxa"/>
            <w:shd w:val="clear" w:color="auto" w:fill="FFFFFF"/>
            <w:vAlign w:val="center"/>
          </w:tcPr>
          <w:p w14:paraId="3D06CEF9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用于匹配质谱流式细胞仪，用于检测人体生物标本中CD4的表达</w:t>
            </w:r>
          </w:p>
        </w:tc>
        <w:tc>
          <w:tcPr>
            <w:tcW w:w="4573" w:type="dxa"/>
            <w:shd w:val="clear" w:color="auto" w:fill="FFFFFF"/>
            <w:vAlign w:val="center"/>
          </w:tcPr>
          <w:p w14:paraId="12D3473A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（1）质谱流式法，同满足流式侧向散射光组合解决方案；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（2）检测样本类型：外周血和组织；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（3）可根据不同临床需求进行试剂组合；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（4）配套质谱流式分析仪及分析软件；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 xml:space="preserve">（5）单位：T/盒 </w:t>
            </w:r>
          </w:p>
        </w:tc>
      </w:tr>
      <w:tr w14:paraId="7FF19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  <w:jc w:val="center"/>
        </w:trPr>
        <w:tc>
          <w:tcPr>
            <w:tcW w:w="783" w:type="dxa"/>
            <w:shd w:val="clear" w:color="auto" w:fill="auto"/>
            <w:vAlign w:val="center"/>
          </w:tcPr>
          <w:p w14:paraId="4CB43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</w:t>
            </w:r>
          </w:p>
        </w:tc>
        <w:tc>
          <w:tcPr>
            <w:tcW w:w="1718" w:type="dxa"/>
            <w:shd w:val="clear" w:color="auto" w:fill="FFFFFF"/>
            <w:vAlign w:val="center"/>
          </w:tcPr>
          <w:p w14:paraId="3CCE27CC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CD38流式检测试剂</w:t>
            </w:r>
          </w:p>
        </w:tc>
        <w:tc>
          <w:tcPr>
            <w:tcW w:w="2359" w:type="dxa"/>
            <w:shd w:val="clear" w:color="auto" w:fill="FFFFFF"/>
            <w:vAlign w:val="center"/>
          </w:tcPr>
          <w:p w14:paraId="1D489B73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用于匹配质谱流式细胞仪，用于检测人体生物标本中CD38的表达</w:t>
            </w:r>
          </w:p>
        </w:tc>
        <w:tc>
          <w:tcPr>
            <w:tcW w:w="4573" w:type="dxa"/>
            <w:shd w:val="clear" w:color="auto" w:fill="FFFFFF"/>
            <w:vAlign w:val="center"/>
          </w:tcPr>
          <w:p w14:paraId="104A3A32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（1）质谱流式法，同满足流式侧向散射光组合解决方案；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（2）检测样本类型：外周血和组织；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（3）可根据不同临床需求进行试剂组合；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（4）配套质谱流式分析仪及分析软件；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 xml:space="preserve">（5）单位：T/盒 </w:t>
            </w:r>
          </w:p>
        </w:tc>
      </w:tr>
      <w:tr w14:paraId="7C12C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  <w:jc w:val="center"/>
        </w:trPr>
        <w:tc>
          <w:tcPr>
            <w:tcW w:w="783" w:type="dxa"/>
            <w:shd w:val="clear" w:color="auto" w:fill="auto"/>
            <w:vAlign w:val="center"/>
          </w:tcPr>
          <w:p w14:paraId="4C17A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</w:t>
            </w:r>
          </w:p>
        </w:tc>
        <w:tc>
          <w:tcPr>
            <w:tcW w:w="1718" w:type="dxa"/>
            <w:shd w:val="clear" w:color="auto" w:fill="FFFFFF"/>
            <w:vAlign w:val="center"/>
          </w:tcPr>
          <w:p w14:paraId="1F51AA2E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CD45RA流式检测试剂</w:t>
            </w:r>
          </w:p>
        </w:tc>
        <w:tc>
          <w:tcPr>
            <w:tcW w:w="2359" w:type="dxa"/>
            <w:shd w:val="clear" w:color="auto" w:fill="FFFFFF"/>
            <w:vAlign w:val="center"/>
          </w:tcPr>
          <w:p w14:paraId="30B4630A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用于匹配质谱流式细胞仪，用于检测人体生物标本中CD45RA的表达</w:t>
            </w:r>
          </w:p>
        </w:tc>
        <w:tc>
          <w:tcPr>
            <w:tcW w:w="4573" w:type="dxa"/>
            <w:shd w:val="clear" w:color="auto" w:fill="FFFFFF"/>
            <w:vAlign w:val="center"/>
          </w:tcPr>
          <w:p w14:paraId="400F7359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（1）质谱流式法，同满足流式侧向散射光组合解决方案；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（2）检测样本类型：外周血和组织；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（3）可根据不同临床需求进行试剂组合；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（4）配套质谱流式分析仪及分析软件；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 xml:space="preserve">（5）单位：T/盒 </w:t>
            </w:r>
          </w:p>
        </w:tc>
      </w:tr>
      <w:tr w14:paraId="188D0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  <w:jc w:val="center"/>
        </w:trPr>
        <w:tc>
          <w:tcPr>
            <w:tcW w:w="783" w:type="dxa"/>
            <w:shd w:val="clear" w:color="auto" w:fill="auto"/>
            <w:vAlign w:val="center"/>
          </w:tcPr>
          <w:p w14:paraId="3EA08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11</w:t>
            </w:r>
          </w:p>
        </w:tc>
        <w:tc>
          <w:tcPr>
            <w:tcW w:w="1718" w:type="dxa"/>
            <w:shd w:val="clear" w:color="auto" w:fill="FFFFFF"/>
            <w:vAlign w:val="center"/>
          </w:tcPr>
          <w:p w14:paraId="30E374F7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CD16流式检测试剂</w:t>
            </w:r>
          </w:p>
        </w:tc>
        <w:tc>
          <w:tcPr>
            <w:tcW w:w="2359" w:type="dxa"/>
            <w:shd w:val="clear" w:color="auto" w:fill="FFFFFF"/>
            <w:vAlign w:val="center"/>
          </w:tcPr>
          <w:p w14:paraId="5B46542F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用于匹配质谱流式细胞仪，用于检测人体生物标本中CD16的表达</w:t>
            </w:r>
          </w:p>
        </w:tc>
        <w:tc>
          <w:tcPr>
            <w:tcW w:w="4573" w:type="dxa"/>
            <w:shd w:val="clear" w:color="auto" w:fill="FFFFFF"/>
            <w:vAlign w:val="center"/>
          </w:tcPr>
          <w:p w14:paraId="6A6C83E5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（1）质谱流式法，同满足流式侧向散射光组合解决方案；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（2）检测样本类型：外周血和组织；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（3）可根据不同临床需求进行试剂组合；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（4）配套质谱流式分析仪及分析软件；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 xml:space="preserve">（5）单位：T/盒 </w:t>
            </w:r>
          </w:p>
        </w:tc>
      </w:tr>
      <w:tr w14:paraId="77629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  <w:jc w:val="center"/>
        </w:trPr>
        <w:tc>
          <w:tcPr>
            <w:tcW w:w="783" w:type="dxa"/>
            <w:shd w:val="clear" w:color="auto" w:fill="auto"/>
            <w:vAlign w:val="center"/>
          </w:tcPr>
          <w:p w14:paraId="62796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12</w:t>
            </w:r>
          </w:p>
        </w:tc>
        <w:tc>
          <w:tcPr>
            <w:tcW w:w="1718" w:type="dxa"/>
            <w:shd w:val="clear" w:color="auto" w:fill="FFFFFF"/>
            <w:vAlign w:val="center"/>
          </w:tcPr>
          <w:p w14:paraId="180DCF0E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CD11b流式检测试剂</w:t>
            </w:r>
          </w:p>
        </w:tc>
        <w:tc>
          <w:tcPr>
            <w:tcW w:w="2359" w:type="dxa"/>
            <w:shd w:val="clear" w:color="auto" w:fill="FFFFFF"/>
            <w:vAlign w:val="center"/>
          </w:tcPr>
          <w:p w14:paraId="127DFFB1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用于匹配质谱流式细胞仪，用于检测人体生物标本中CD11b的表达</w:t>
            </w:r>
          </w:p>
        </w:tc>
        <w:tc>
          <w:tcPr>
            <w:tcW w:w="4573" w:type="dxa"/>
            <w:shd w:val="clear" w:color="auto" w:fill="FFFFFF"/>
            <w:vAlign w:val="center"/>
          </w:tcPr>
          <w:p w14:paraId="56E08FC0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（1）质谱流式法，同满足流式侧向散射光组合解决方案；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（2）检测样本类型：外周血和组织；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（3）可根据不同临床需求进行试剂组合；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（4）配套质谱流式分析仪及分析软件；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 xml:space="preserve">（5）单位：T/盒 </w:t>
            </w:r>
          </w:p>
        </w:tc>
      </w:tr>
      <w:tr w14:paraId="38EC5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  <w:jc w:val="center"/>
        </w:trPr>
        <w:tc>
          <w:tcPr>
            <w:tcW w:w="783" w:type="dxa"/>
            <w:shd w:val="clear" w:color="auto" w:fill="auto"/>
            <w:vAlign w:val="center"/>
          </w:tcPr>
          <w:p w14:paraId="11A3C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13</w:t>
            </w:r>
          </w:p>
        </w:tc>
        <w:tc>
          <w:tcPr>
            <w:tcW w:w="1718" w:type="dxa"/>
            <w:shd w:val="clear" w:color="auto" w:fill="FFFFFF"/>
            <w:vAlign w:val="center"/>
          </w:tcPr>
          <w:p w14:paraId="33E793BF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CD25流式检测试剂</w:t>
            </w:r>
          </w:p>
        </w:tc>
        <w:tc>
          <w:tcPr>
            <w:tcW w:w="2359" w:type="dxa"/>
            <w:shd w:val="clear" w:color="auto" w:fill="FFFFFF"/>
            <w:vAlign w:val="center"/>
          </w:tcPr>
          <w:p w14:paraId="53C98594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用于匹配质谱流式细胞仪，用于检测人体生物标本中CD25的表达</w:t>
            </w:r>
          </w:p>
        </w:tc>
        <w:tc>
          <w:tcPr>
            <w:tcW w:w="4573" w:type="dxa"/>
            <w:shd w:val="clear" w:color="auto" w:fill="FFFFFF"/>
            <w:vAlign w:val="center"/>
          </w:tcPr>
          <w:p w14:paraId="4AC35AC4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（1）质谱流式法，同满足流式侧向散射光组合解决方案；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（2）检测样本类型：外周血和组织；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（3）可根据不同临床需求进行试剂组合；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（4）配套质谱流式分析仪及分析软件；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 xml:space="preserve">（5）单位：T/盒 </w:t>
            </w:r>
          </w:p>
        </w:tc>
      </w:tr>
      <w:tr w14:paraId="47348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  <w:jc w:val="center"/>
        </w:trPr>
        <w:tc>
          <w:tcPr>
            <w:tcW w:w="783" w:type="dxa"/>
            <w:shd w:val="clear" w:color="auto" w:fill="auto"/>
            <w:vAlign w:val="center"/>
          </w:tcPr>
          <w:p w14:paraId="4EB5C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14</w:t>
            </w:r>
          </w:p>
        </w:tc>
        <w:tc>
          <w:tcPr>
            <w:tcW w:w="1718" w:type="dxa"/>
            <w:shd w:val="clear" w:color="auto" w:fill="FFFFFF"/>
            <w:vAlign w:val="center"/>
          </w:tcPr>
          <w:p w14:paraId="03AA6D56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CD127流式检测试剂</w:t>
            </w:r>
          </w:p>
        </w:tc>
        <w:tc>
          <w:tcPr>
            <w:tcW w:w="2359" w:type="dxa"/>
            <w:shd w:val="clear" w:color="auto" w:fill="FFFFFF"/>
            <w:vAlign w:val="center"/>
          </w:tcPr>
          <w:p w14:paraId="30D44F4F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用于匹配质谱流式细胞仪，用于检测人体生物标本中CD127的表达</w:t>
            </w:r>
          </w:p>
        </w:tc>
        <w:tc>
          <w:tcPr>
            <w:tcW w:w="4573" w:type="dxa"/>
            <w:shd w:val="clear" w:color="auto" w:fill="FFFFFF"/>
            <w:vAlign w:val="center"/>
          </w:tcPr>
          <w:p w14:paraId="2EF7DCDF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（1）质谱流式法，同满足流式侧向散射光组合解决方案；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（2）检测样本类型：外周血和组织；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（3）可根据不同临床需求进行试剂组合；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（4）配套质谱流式分析仪及分析软件；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 xml:space="preserve">（5）单位：T/盒 </w:t>
            </w:r>
          </w:p>
        </w:tc>
      </w:tr>
      <w:tr w14:paraId="5402E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  <w:jc w:val="center"/>
        </w:trPr>
        <w:tc>
          <w:tcPr>
            <w:tcW w:w="783" w:type="dxa"/>
            <w:shd w:val="clear" w:color="auto" w:fill="auto"/>
            <w:vAlign w:val="center"/>
          </w:tcPr>
          <w:p w14:paraId="2F816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15</w:t>
            </w:r>
          </w:p>
        </w:tc>
        <w:tc>
          <w:tcPr>
            <w:tcW w:w="1718" w:type="dxa"/>
            <w:shd w:val="clear" w:color="auto" w:fill="FFFFFF"/>
            <w:vAlign w:val="center"/>
          </w:tcPr>
          <w:p w14:paraId="7B4A3A04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CD279流式检测试剂</w:t>
            </w:r>
          </w:p>
        </w:tc>
        <w:tc>
          <w:tcPr>
            <w:tcW w:w="2359" w:type="dxa"/>
            <w:shd w:val="clear" w:color="auto" w:fill="FFFFFF"/>
            <w:vAlign w:val="center"/>
          </w:tcPr>
          <w:p w14:paraId="308EFB24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用于匹配质谱流式细胞仪，用于检测人体生物标本中CD279的表达</w:t>
            </w:r>
          </w:p>
        </w:tc>
        <w:tc>
          <w:tcPr>
            <w:tcW w:w="4573" w:type="dxa"/>
            <w:shd w:val="clear" w:color="auto" w:fill="FFFFFF"/>
            <w:vAlign w:val="center"/>
          </w:tcPr>
          <w:p w14:paraId="1AE6AB31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（1）质谱流式法，同满足流式侧向散射光组合解决方案；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（2）检测样本类型：外周血和组织；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（3）可根据不同临床需求进行试剂组合；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（4）配套质谱流式分析仪及分析软件；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 xml:space="preserve">（5）单位：T/盒 </w:t>
            </w:r>
          </w:p>
        </w:tc>
      </w:tr>
    </w:tbl>
    <w:p w14:paraId="5BAAF010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FBCB2C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E45AF9">
                          <w:pPr>
                            <w:pStyle w:val="1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E45AF9">
                    <w:pPr>
                      <w:pStyle w:val="1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ZjNjZhYzdjZjdiY2IyYTg2MTQwNWM5ZWE2MjRhM2UifQ=="/>
  </w:docVars>
  <w:rsids>
    <w:rsidRoot w:val="00172A27"/>
    <w:rsid w:val="00013944"/>
    <w:rsid w:val="0001394D"/>
    <w:rsid w:val="00016EBC"/>
    <w:rsid w:val="00020C1F"/>
    <w:rsid w:val="00021503"/>
    <w:rsid w:val="00022629"/>
    <w:rsid w:val="00027F78"/>
    <w:rsid w:val="00032C99"/>
    <w:rsid w:val="0003375C"/>
    <w:rsid w:val="00033897"/>
    <w:rsid w:val="00035F1B"/>
    <w:rsid w:val="0004279D"/>
    <w:rsid w:val="000453B0"/>
    <w:rsid w:val="0005247D"/>
    <w:rsid w:val="0005248E"/>
    <w:rsid w:val="0005399F"/>
    <w:rsid w:val="00053BE3"/>
    <w:rsid w:val="00055237"/>
    <w:rsid w:val="00055DFE"/>
    <w:rsid w:val="000570E4"/>
    <w:rsid w:val="000602F0"/>
    <w:rsid w:val="000607C3"/>
    <w:rsid w:val="00062302"/>
    <w:rsid w:val="000644F4"/>
    <w:rsid w:val="000706C2"/>
    <w:rsid w:val="0007138D"/>
    <w:rsid w:val="0007206B"/>
    <w:rsid w:val="00074EBE"/>
    <w:rsid w:val="00076827"/>
    <w:rsid w:val="00084014"/>
    <w:rsid w:val="000857BF"/>
    <w:rsid w:val="00085B26"/>
    <w:rsid w:val="00091836"/>
    <w:rsid w:val="00096A14"/>
    <w:rsid w:val="00097B78"/>
    <w:rsid w:val="000A441F"/>
    <w:rsid w:val="000A54E6"/>
    <w:rsid w:val="000A580C"/>
    <w:rsid w:val="000A6F08"/>
    <w:rsid w:val="000A71DA"/>
    <w:rsid w:val="000A7321"/>
    <w:rsid w:val="000B0104"/>
    <w:rsid w:val="000B33F8"/>
    <w:rsid w:val="000B369C"/>
    <w:rsid w:val="000B3903"/>
    <w:rsid w:val="000B41DA"/>
    <w:rsid w:val="000B4D19"/>
    <w:rsid w:val="000C3760"/>
    <w:rsid w:val="000C3E5F"/>
    <w:rsid w:val="000C51C0"/>
    <w:rsid w:val="000D1536"/>
    <w:rsid w:val="000D2456"/>
    <w:rsid w:val="000D7383"/>
    <w:rsid w:val="000E3024"/>
    <w:rsid w:val="000E4EFD"/>
    <w:rsid w:val="000E6476"/>
    <w:rsid w:val="000F1681"/>
    <w:rsid w:val="000F3588"/>
    <w:rsid w:val="000F621C"/>
    <w:rsid w:val="000F7A68"/>
    <w:rsid w:val="0010003F"/>
    <w:rsid w:val="00102C9B"/>
    <w:rsid w:val="0010397A"/>
    <w:rsid w:val="00105DEE"/>
    <w:rsid w:val="00127B11"/>
    <w:rsid w:val="001363A0"/>
    <w:rsid w:val="00137781"/>
    <w:rsid w:val="00140A3C"/>
    <w:rsid w:val="0014177A"/>
    <w:rsid w:val="00142EC6"/>
    <w:rsid w:val="00146DA9"/>
    <w:rsid w:val="00147575"/>
    <w:rsid w:val="001525F0"/>
    <w:rsid w:val="00163864"/>
    <w:rsid w:val="001653A7"/>
    <w:rsid w:val="00170142"/>
    <w:rsid w:val="001707D4"/>
    <w:rsid w:val="00172FF3"/>
    <w:rsid w:val="001741E0"/>
    <w:rsid w:val="00180F4E"/>
    <w:rsid w:val="00181192"/>
    <w:rsid w:val="00182E02"/>
    <w:rsid w:val="00183B83"/>
    <w:rsid w:val="00184ED7"/>
    <w:rsid w:val="00185856"/>
    <w:rsid w:val="001903B4"/>
    <w:rsid w:val="00190651"/>
    <w:rsid w:val="001936DD"/>
    <w:rsid w:val="00195981"/>
    <w:rsid w:val="00196160"/>
    <w:rsid w:val="001A18F6"/>
    <w:rsid w:val="001A6106"/>
    <w:rsid w:val="001A7306"/>
    <w:rsid w:val="001B07EC"/>
    <w:rsid w:val="001B2AD6"/>
    <w:rsid w:val="001B3625"/>
    <w:rsid w:val="001B5B42"/>
    <w:rsid w:val="001B7912"/>
    <w:rsid w:val="001C62CC"/>
    <w:rsid w:val="001D4477"/>
    <w:rsid w:val="001D6C9B"/>
    <w:rsid w:val="001E197A"/>
    <w:rsid w:val="001E293F"/>
    <w:rsid w:val="001E3A59"/>
    <w:rsid w:val="001E6665"/>
    <w:rsid w:val="001E74F6"/>
    <w:rsid w:val="001F02DA"/>
    <w:rsid w:val="001F1FA4"/>
    <w:rsid w:val="001F6D28"/>
    <w:rsid w:val="002109FB"/>
    <w:rsid w:val="00220121"/>
    <w:rsid w:val="002203A1"/>
    <w:rsid w:val="00220A56"/>
    <w:rsid w:val="00224285"/>
    <w:rsid w:val="0022704D"/>
    <w:rsid w:val="00227922"/>
    <w:rsid w:val="00230465"/>
    <w:rsid w:val="0023130D"/>
    <w:rsid w:val="0023147A"/>
    <w:rsid w:val="00232051"/>
    <w:rsid w:val="002343C9"/>
    <w:rsid w:val="002348CB"/>
    <w:rsid w:val="002364DD"/>
    <w:rsid w:val="0023797B"/>
    <w:rsid w:val="00242695"/>
    <w:rsid w:val="00245FB7"/>
    <w:rsid w:val="00247AC2"/>
    <w:rsid w:val="00251510"/>
    <w:rsid w:val="002552E9"/>
    <w:rsid w:val="00255838"/>
    <w:rsid w:val="00256EBA"/>
    <w:rsid w:val="00257CBD"/>
    <w:rsid w:val="002606CD"/>
    <w:rsid w:val="002616E8"/>
    <w:rsid w:val="002619E1"/>
    <w:rsid w:val="0026223A"/>
    <w:rsid w:val="0026256C"/>
    <w:rsid w:val="00262D11"/>
    <w:rsid w:val="00262F78"/>
    <w:rsid w:val="002646A7"/>
    <w:rsid w:val="002668B9"/>
    <w:rsid w:val="0027248D"/>
    <w:rsid w:val="002734D2"/>
    <w:rsid w:val="002755B0"/>
    <w:rsid w:val="00276A29"/>
    <w:rsid w:val="002811B1"/>
    <w:rsid w:val="00283754"/>
    <w:rsid w:val="00285E55"/>
    <w:rsid w:val="0028639A"/>
    <w:rsid w:val="002868C4"/>
    <w:rsid w:val="00291686"/>
    <w:rsid w:val="00291ABF"/>
    <w:rsid w:val="00292271"/>
    <w:rsid w:val="00292AE8"/>
    <w:rsid w:val="002A0A68"/>
    <w:rsid w:val="002A1EC5"/>
    <w:rsid w:val="002A3631"/>
    <w:rsid w:val="002A45F0"/>
    <w:rsid w:val="002A579F"/>
    <w:rsid w:val="002B23B0"/>
    <w:rsid w:val="002B3E22"/>
    <w:rsid w:val="002B58CA"/>
    <w:rsid w:val="002B6279"/>
    <w:rsid w:val="002B7585"/>
    <w:rsid w:val="002C0BAD"/>
    <w:rsid w:val="002C1D46"/>
    <w:rsid w:val="002C39B1"/>
    <w:rsid w:val="002D5849"/>
    <w:rsid w:val="002D5E7C"/>
    <w:rsid w:val="002E5A1A"/>
    <w:rsid w:val="002E5A65"/>
    <w:rsid w:val="002F0400"/>
    <w:rsid w:val="002F0D09"/>
    <w:rsid w:val="002F1298"/>
    <w:rsid w:val="002F1773"/>
    <w:rsid w:val="002F3946"/>
    <w:rsid w:val="002F5F9C"/>
    <w:rsid w:val="002F62B1"/>
    <w:rsid w:val="00303C22"/>
    <w:rsid w:val="00303C41"/>
    <w:rsid w:val="003055D0"/>
    <w:rsid w:val="00307DF9"/>
    <w:rsid w:val="003107C6"/>
    <w:rsid w:val="003166F7"/>
    <w:rsid w:val="00320FC6"/>
    <w:rsid w:val="00321080"/>
    <w:rsid w:val="00321A14"/>
    <w:rsid w:val="00322403"/>
    <w:rsid w:val="00323E1C"/>
    <w:rsid w:val="00324645"/>
    <w:rsid w:val="003274B9"/>
    <w:rsid w:val="00327AF8"/>
    <w:rsid w:val="003320B5"/>
    <w:rsid w:val="00333489"/>
    <w:rsid w:val="00335A8F"/>
    <w:rsid w:val="00335B55"/>
    <w:rsid w:val="00336189"/>
    <w:rsid w:val="00336454"/>
    <w:rsid w:val="00337243"/>
    <w:rsid w:val="00337270"/>
    <w:rsid w:val="003406AD"/>
    <w:rsid w:val="003412A6"/>
    <w:rsid w:val="003414EC"/>
    <w:rsid w:val="00343469"/>
    <w:rsid w:val="00351264"/>
    <w:rsid w:val="003519D8"/>
    <w:rsid w:val="003549CE"/>
    <w:rsid w:val="0035517E"/>
    <w:rsid w:val="0035577C"/>
    <w:rsid w:val="00356C9C"/>
    <w:rsid w:val="0036551F"/>
    <w:rsid w:val="0036772A"/>
    <w:rsid w:val="00367C5F"/>
    <w:rsid w:val="00375338"/>
    <w:rsid w:val="00375556"/>
    <w:rsid w:val="003770CD"/>
    <w:rsid w:val="0038208D"/>
    <w:rsid w:val="00391D95"/>
    <w:rsid w:val="00393A83"/>
    <w:rsid w:val="003946A2"/>
    <w:rsid w:val="003A0D4C"/>
    <w:rsid w:val="003A460E"/>
    <w:rsid w:val="003A4D9E"/>
    <w:rsid w:val="003A67F4"/>
    <w:rsid w:val="003B455C"/>
    <w:rsid w:val="003B5CC9"/>
    <w:rsid w:val="003C2706"/>
    <w:rsid w:val="003C5DB6"/>
    <w:rsid w:val="003C7BFE"/>
    <w:rsid w:val="003D1734"/>
    <w:rsid w:val="003D3F4A"/>
    <w:rsid w:val="003D7CE1"/>
    <w:rsid w:val="003E697E"/>
    <w:rsid w:val="003E7971"/>
    <w:rsid w:val="003E7D4E"/>
    <w:rsid w:val="003F5B3B"/>
    <w:rsid w:val="00404D17"/>
    <w:rsid w:val="00406C2A"/>
    <w:rsid w:val="00407D6F"/>
    <w:rsid w:val="00410BD4"/>
    <w:rsid w:val="00411A64"/>
    <w:rsid w:val="0041572D"/>
    <w:rsid w:val="00417598"/>
    <w:rsid w:val="00424AE1"/>
    <w:rsid w:val="004250FA"/>
    <w:rsid w:val="004269A9"/>
    <w:rsid w:val="00426BF4"/>
    <w:rsid w:val="00427B7B"/>
    <w:rsid w:val="0043519D"/>
    <w:rsid w:val="00441869"/>
    <w:rsid w:val="0044438B"/>
    <w:rsid w:val="004447E9"/>
    <w:rsid w:val="00445429"/>
    <w:rsid w:val="00447927"/>
    <w:rsid w:val="0045074D"/>
    <w:rsid w:val="00452FE1"/>
    <w:rsid w:val="00453335"/>
    <w:rsid w:val="004621E0"/>
    <w:rsid w:val="00462DA2"/>
    <w:rsid w:val="004637EC"/>
    <w:rsid w:val="00465226"/>
    <w:rsid w:val="00470A3C"/>
    <w:rsid w:val="00470DF6"/>
    <w:rsid w:val="00471BC4"/>
    <w:rsid w:val="00472E38"/>
    <w:rsid w:val="004807DD"/>
    <w:rsid w:val="00482472"/>
    <w:rsid w:val="00482ED1"/>
    <w:rsid w:val="0049461B"/>
    <w:rsid w:val="00494792"/>
    <w:rsid w:val="00494BFD"/>
    <w:rsid w:val="004A46BB"/>
    <w:rsid w:val="004A51B2"/>
    <w:rsid w:val="004A55C6"/>
    <w:rsid w:val="004A6C5F"/>
    <w:rsid w:val="004B06F2"/>
    <w:rsid w:val="004B45C9"/>
    <w:rsid w:val="004B5BC2"/>
    <w:rsid w:val="004B60DE"/>
    <w:rsid w:val="004B7611"/>
    <w:rsid w:val="004C2048"/>
    <w:rsid w:val="004C6146"/>
    <w:rsid w:val="004C7071"/>
    <w:rsid w:val="004D41F5"/>
    <w:rsid w:val="004D43AB"/>
    <w:rsid w:val="004D670C"/>
    <w:rsid w:val="004D7495"/>
    <w:rsid w:val="004D7B4A"/>
    <w:rsid w:val="004F63E8"/>
    <w:rsid w:val="004F6ED1"/>
    <w:rsid w:val="004F7563"/>
    <w:rsid w:val="005043FC"/>
    <w:rsid w:val="00506061"/>
    <w:rsid w:val="005063A2"/>
    <w:rsid w:val="0051012B"/>
    <w:rsid w:val="005105A3"/>
    <w:rsid w:val="00511FCC"/>
    <w:rsid w:val="005120A8"/>
    <w:rsid w:val="00513AA8"/>
    <w:rsid w:val="00514B55"/>
    <w:rsid w:val="00515156"/>
    <w:rsid w:val="00517334"/>
    <w:rsid w:val="005228E0"/>
    <w:rsid w:val="00524203"/>
    <w:rsid w:val="00524500"/>
    <w:rsid w:val="00545A45"/>
    <w:rsid w:val="00552325"/>
    <w:rsid w:val="0055272B"/>
    <w:rsid w:val="0055413B"/>
    <w:rsid w:val="00554342"/>
    <w:rsid w:val="00554C80"/>
    <w:rsid w:val="005568A0"/>
    <w:rsid w:val="005569B4"/>
    <w:rsid w:val="0056089D"/>
    <w:rsid w:val="005623FC"/>
    <w:rsid w:val="00564449"/>
    <w:rsid w:val="0056734D"/>
    <w:rsid w:val="0057153C"/>
    <w:rsid w:val="00572E56"/>
    <w:rsid w:val="00575062"/>
    <w:rsid w:val="005849C9"/>
    <w:rsid w:val="00584B80"/>
    <w:rsid w:val="00587B50"/>
    <w:rsid w:val="0059462D"/>
    <w:rsid w:val="00594B45"/>
    <w:rsid w:val="00596C59"/>
    <w:rsid w:val="005A0F7D"/>
    <w:rsid w:val="005A1D1A"/>
    <w:rsid w:val="005A77A0"/>
    <w:rsid w:val="005B2D57"/>
    <w:rsid w:val="005B3E86"/>
    <w:rsid w:val="005C3BA0"/>
    <w:rsid w:val="005C40E1"/>
    <w:rsid w:val="005D0ED4"/>
    <w:rsid w:val="005D4DA1"/>
    <w:rsid w:val="005D7250"/>
    <w:rsid w:val="005E2C02"/>
    <w:rsid w:val="005E429A"/>
    <w:rsid w:val="005E73F6"/>
    <w:rsid w:val="005E7774"/>
    <w:rsid w:val="005F011C"/>
    <w:rsid w:val="005F039E"/>
    <w:rsid w:val="005F068B"/>
    <w:rsid w:val="005F1759"/>
    <w:rsid w:val="005F2105"/>
    <w:rsid w:val="005F752D"/>
    <w:rsid w:val="006028DA"/>
    <w:rsid w:val="00602E47"/>
    <w:rsid w:val="00602F99"/>
    <w:rsid w:val="00604598"/>
    <w:rsid w:val="00605F7A"/>
    <w:rsid w:val="00610F5C"/>
    <w:rsid w:val="00612C81"/>
    <w:rsid w:val="00614D13"/>
    <w:rsid w:val="006161A6"/>
    <w:rsid w:val="00620C00"/>
    <w:rsid w:val="00631F92"/>
    <w:rsid w:val="00640937"/>
    <w:rsid w:val="00643113"/>
    <w:rsid w:val="00643C13"/>
    <w:rsid w:val="00653646"/>
    <w:rsid w:val="00653887"/>
    <w:rsid w:val="00665505"/>
    <w:rsid w:val="006659CA"/>
    <w:rsid w:val="00667536"/>
    <w:rsid w:val="00672FCF"/>
    <w:rsid w:val="00673654"/>
    <w:rsid w:val="006767E4"/>
    <w:rsid w:val="00677CF4"/>
    <w:rsid w:val="00680A7A"/>
    <w:rsid w:val="00682EE0"/>
    <w:rsid w:val="006832BA"/>
    <w:rsid w:val="00687883"/>
    <w:rsid w:val="006927E2"/>
    <w:rsid w:val="006931AC"/>
    <w:rsid w:val="00693EEC"/>
    <w:rsid w:val="006A663B"/>
    <w:rsid w:val="006B05D7"/>
    <w:rsid w:val="006B0741"/>
    <w:rsid w:val="006B4349"/>
    <w:rsid w:val="006B4661"/>
    <w:rsid w:val="006B7CB4"/>
    <w:rsid w:val="006B7E78"/>
    <w:rsid w:val="006C08D4"/>
    <w:rsid w:val="006C2569"/>
    <w:rsid w:val="006C7DBE"/>
    <w:rsid w:val="006D2703"/>
    <w:rsid w:val="006D5571"/>
    <w:rsid w:val="006D69BA"/>
    <w:rsid w:val="006E1108"/>
    <w:rsid w:val="006F05F9"/>
    <w:rsid w:val="006F0ABC"/>
    <w:rsid w:val="006F1193"/>
    <w:rsid w:val="007028EE"/>
    <w:rsid w:val="00704459"/>
    <w:rsid w:val="00705529"/>
    <w:rsid w:val="007062C4"/>
    <w:rsid w:val="00711C10"/>
    <w:rsid w:val="007126FB"/>
    <w:rsid w:val="00714969"/>
    <w:rsid w:val="007159EA"/>
    <w:rsid w:val="00716894"/>
    <w:rsid w:val="00723B26"/>
    <w:rsid w:val="0073063C"/>
    <w:rsid w:val="0073173C"/>
    <w:rsid w:val="00732423"/>
    <w:rsid w:val="007337D3"/>
    <w:rsid w:val="00733E51"/>
    <w:rsid w:val="007402A3"/>
    <w:rsid w:val="007414BA"/>
    <w:rsid w:val="00743143"/>
    <w:rsid w:val="00743767"/>
    <w:rsid w:val="007504D3"/>
    <w:rsid w:val="00751947"/>
    <w:rsid w:val="00754B7D"/>
    <w:rsid w:val="00754F4B"/>
    <w:rsid w:val="007602FD"/>
    <w:rsid w:val="00761159"/>
    <w:rsid w:val="0076361B"/>
    <w:rsid w:val="00763C99"/>
    <w:rsid w:val="00764112"/>
    <w:rsid w:val="00770027"/>
    <w:rsid w:val="00774783"/>
    <w:rsid w:val="00776B18"/>
    <w:rsid w:val="00782CC3"/>
    <w:rsid w:val="007837C0"/>
    <w:rsid w:val="00783913"/>
    <w:rsid w:val="00784BB8"/>
    <w:rsid w:val="00785396"/>
    <w:rsid w:val="00785AFB"/>
    <w:rsid w:val="00787EB7"/>
    <w:rsid w:val="0079014C"/>
    <w:rsid w:val="00791BE0"/>
    <w:rsid w:val="007A3A18"/>
    <w:rsid w:val="007A7272"/>
    <w:rsid w:val="007A7489"/>
    <w:rsid w:val="007B4926"/>
    <w:rsid w:val="007C2CBA"/>
    <w:rsid w:val="007C4B88"/>
    <w:rsid w:val="007C77B8"/>
    <w:rsid w:val="007D02B2"/>
    <w:rsid w:val="007D2DB9"/>
    <w:rsid w:val="007D5F99"/>
    <w:rsid w:val="007D608A"/>
    <w:rsid w:val="007D650B"/>
    <w:rsid w:val="007D7079"/>
    <w:rsid w:val="007D7286"/>
    <w:rsid w:val="007E4C63"/>
    <w:rsid w:val="007F380D"/>
    <w:rsid w:val="007F47DD"/>
    <w:rsid w:val="007F5D8D"/>
    <w:rsid w:val="007F7E8C"/>
    <w:rsid w:val="008079AF"/>
    <w:rsid w:val="00807EE9"/>
    <w:rsid w:val="0081000B"/>
    <w:rsid w:val="00821F07"/>
    <w:rsid w:val="00822A89"/>
    <w:rsid w:val="008236FB"/>
    <w:rsid w:val="00827E57"/>
    <w:rsid w:val="00831F17"/>
    <w:rsid w:val="00832358"/>
    <w:rsid w:val="008347F6"/>
    <w:rsid w:val="008352FE"/>
    <w:rsid w:val="00840D75"/>
    <w:rsid w:val="0084274B"/>
    <w:rsid w:val="008458B9"/>
    <w:rsid w:val="00851171"/>
    <w:rsid w:val="00853E61"/>
    <w:rsid w:val="00855D97"/>
    <w:rsid w:val="008579D4"/>
    <w:rsid w:val="00861349"/>
    <w:rsid w:val="00862FFB"/>
    <w:rsid w:val="0086323C"/>
    <w:rsid w:val="00863363"/>
    <w:rsid w:val="008667B8"/>
    <w:rsid w:val="0087036A"/>
    <w:rsid w:val="008715F0"/>
    <w:rsid w:val="00876DF2"/>
    <w:rsid w:val="00880814"/>
    <w:rsid w:val="008833A3"/>
    <w:rsid w:val="0088342B"/>
    <w:rsid w:val="00886D0E"/>
    <w:rsid w:val="0088768E"/>
    <w:rsid w:val="00887D0C"/>
    <w:rsid w:val="008B397E"/>
    <w:rsid w:val="008C1E66"/>
    <w:rsid w:val="008C5310"/>
    <w:rsid w:val="008C697C"/>
    <w:rsid w:val="008D1236"/>
    <w:rsid w:val="008D1A82"/>
    <w:rsid w:val="008D3D0E"/>
    <w:rsid w:val="008D51A6"/>
    <w:rsid w:val="008D67E5"/>
    <w:rsid w:val="008E4064"/>
    <w:rsid w:val="008E45DB"/>
    <w:rsid w:val="008E50D5"/>
    <w:rsid w:val="008F298A"/>
    <w:rsid w:val="008F3EF9"/>
    <w:rsid w:val="008F480C"/>
    <w:rsid w:val="008F7205"/>
    <w:rsid w:val="008F7D1C"/>
    <w:rsid w:val="00900518"/>
    <w:rsid w:val="0090085D"/>
    <w:rsid w:val="009073AC"/>
    <w:rsid w:val="0090789E"/>
    <w:rsid w:val="00910E0C"/>
    <w:rsid w:val="00910E80"/>
    <w:rsid w:val="00913529"/>
    <w:rsid w:val="00915E63"/>
    <w:rsid w:val="0092060D"/>
    <w:rsid w:val="009333FB"/>
    <w:rsid w:val="0093425B"/>
    <w:rsid w:val="0093428A"/>
    <w:rsid w:val="009371F5"/>
    <w:rsid w:val="00942414"/>
    <w:rsid w:val="00943FCC"/>
    <w:rsid w:val="00945E16"/>
    <w:rsid w:val="009515A6"/>
    <w:rsid w:val="0096104A"/>
    <w:rsid w:val="00961645"/>
    <w:rsid w:val="0096164E"/>
    <w:rsid w:val="00966264"/>
    <w:rsid w:val="009666F7"/>
    <w:rsid w:val="00972EA5"/>
    <w:rsid w:val="00974E88"/>
    <w:rsid w:val="00975447"/>
    <w:rsid w:val="009809F4"/>
    <w:rsid w:val="0098125F"/>
    <w:rsid w:val="009812AA"/>
    <w:rsid w:val="009864EB"/>
    <w:rsid w:val="00987B99"/>
    <w:rsid w:val="00992219"/>
    <w:rsid w:val="0099246E"/>
    <w:rsid w:val="009935FE"/>
    <w:rsid w:val="0099616D"/>
    <w:rsid w:val="00996730"/>
    <w:rsid w:val="009A49AB"/>
    <w:rsid w:val="009A7136"/>
    <w:rsid w:val="009B1957"/>
    <w:rsid w:val="009B2BF1"/>
    <w:rsid w:val="009C7C66"/>
    <w:rsid w:val="009D67F2"/>
    <w:rsid w:val="009D68FE"/>
    <w:rsid w:val="009E6E26"/>
    <w:rsid w:val="009F1F10"/>
    <w:rsid w:val="009F27C2"/>
    <w:rsid w:val="009F55B2"/>
    <w:rsid w:val="00A014C5"/>
    <w:rsid w:val="00A025F1"/>
    <w:rsid w:val="00A03818"/>
    <w:rsid w:val="00A069A7"/>
    <w:rsid w:val="00A122B4"/>
    <w:rsid w:val="00A1448E"/>
    <w:rsid w:val="00A1757E"/>
    <w:rsid w:val="00A176E4"/>
    <w:rsid w:val="00A21AF7"/>
    <w:rsid w:val="00A34092"/>
    <w:rsid w:val="00A4278D"/>
    <w:rsid w:val="00A42E7D"/>
    <w:rsid w:val="00A54934"/>
    <w:rsid w:val="00A54B0A"/>
    <w:rsid w:val="00A54F87"/>
    <w:rsid w:val="00A551FD"/>
    <w:rsid w:val="00A55726"/>
    <w:rsid w:val="00A6635C"/>
    <w:rsid w:val="00A66725"/>
    <w:rsid w:val="00A66921"/>
    <w:rsid w:val="00A73444"/>
    <w:rsid w:val="00A75B8A"/>
    <w:rsid w:val="00A8067D"/>
    <w:rsid w:val="00A81239"/>
    <w:rsid w:val="00A87920"/>
    <w:rsid w:val="00A91C8B"/>
    <w:rsid w:val="00A93750"/>
    <w:rsid w:val="00A946E0"/>
    <w:rsid w:val="00A94D38"/>
    <w:rsid w:val="00A96608"/>
    <w:rsid w:val="00A97B18"/>
    <w:rsid w:val="00AA1201"/>
    <w:rsid w:val="00AB2F32"/>
    <w:rsid w:val="00AB39FA"/>
    <w:rsid w:val="00AB594C"/>
    <w:rsid w:val="00AB62AD"/>
    <w:rsid w:val="00AC1D23"/>
    <w:rsid w:val="00AC1E47"/>
    <w:rsid w:val="00AE3149"/>
    <w:rsid w:val="00AE332D"/>
    <w:rsid w:val="00AE5D35"/>
    <w:rsid w:val="00AE7ADA"/>
    <w:rsid w:val="00AF117D"/>
    <w:rsid w:val="00AF5568"/>
    <w:rsid w:val="00AF5BBB"/>
    <w:rsid w:val="00B00AEE"/>
    <w:rsid w:val="00B01FF2"/>
    <w:rsid w:val="00B02DD9"/>
    <w:rsid w:val="00B03DDF"/>
    <w:rsid w:val="00B05762"/>
    <w:rsid w:val="00B07D48"/>
    <w:rsid w:val="00B132F5"/>
    <w:rsid w:val="00B14872"/>
    <w:rsid w:val="00B16034"/>
    <w:rsid w:val="00B20F4F"/>
    <w:rsid w:val="00B27679"/>
    <w:rsid w:val="00B277A8"/>
    <w:rsid w:val="00B3152C"/>
    <w:rsid w:val="00B32AFB"/>
    <w:rsid w:val="00B344FE"/>
    <w:rsid w:val="00B432A3"/>
    <w:rsid w:val="00B4595A"/>
    <w:rsid w:val="00B463CC"/>
    <w:rsid w:val="00B5419B"/>
    <w:rsid w:val="00B54422"/>
    <w:rsid w:val="00B558C5"/>
    <w:rsid w:val="00B61785"/>
    <w:rsid w:val="00B62A2D"/>
    <w:rsid w:val="00B647D6"/>
    <w:rsid w:val="00B65EA1"/>
    <w:rsid w:val="00B67B89"/>
    <w:rsid w:val="00B72B2A"/>
    <w:rsid w:val="00B77280"/>
    <w:rsid w:val="00B804A0"/>
    <w:rsid w:val="00B80B44"/>
    <w:rsid w:val="00B80DB2"/>
    <w:rsid w:val="00B8141B"/>
    <w:rsid w:val="00B85157"/>
    <w:rsid w:val="00B86D2C"/>
    <w:rsid w:val="00B91EF1"/>
    <w:rsid w:val="00B925AB"/>
    <w:rsid w:val="00BA15B0"/>
    <w:rsid w:val="00BA3C75"/>
    <w:rsid w:val="00BA4F1A"/>
    <w:rsid w:val="00BA5372"/>
    <w:rsid w:val="00BA6DA3"/>
    <w:rsid w:val="00BA7488"/>
    <w:rsid w:val="00BB3241"/>
    <w:rsid w:val="00BB45AE"/>
    <w:rsid w:val="00BB6726"/>
    <w:rsid w:val="00BC5504"/>
    <w:rsid w:val="00BC64C7"/>
    <w:rsid w:val="00BD0F70"/>
    <w:rsid w:val="00BD0FC0"/>
    <w:rsid w:val="00BD46F6"/>
    <w:rsid w:val="00BD6A52"/>
    <w:rsid w:val="00BE1EE2"/>
    <w:rsid w:val="00BE284D"/>
    <w:rsid w:val="00BE61AB"/>
    <w:rsid w:val="00BE6B37"/>
    <w:rsid w:val="00BF1F07"/>
    <w:rsid w:val="00BF3C3B"/>
    <w:rsid w:val="00BF5547"/>
    <w:rsid w:val="00BF5728"/>
    <w:rsid w:val="00C048E8"/>
    <w:rsid w:val="00C04978"/>
    <w:rsid w:val="00C05262"/>
    <w:rsid w:val="00C10F4A"/>
    <w:rsid w:val="00C12DF4"/>
    <w:rsid w:val="00C20652"/>
    <w:rsid w:val="00C23455"/>
    <w:rsid w:val="00C31CB9"/>
    <w:rsid w:val="00C320BA"/>
    <w:rsid w:val="00C35A16"/>
    <w:rsid w:val="00C36927"/>
    <w:rsid w:val="00C40888"/>
    <w:rsid w:val="00C44FD1"/>
    <w:rsid w:val="00C477DC"/>
    <w:rsid w:val="00C502A4"/>
    <w:rsid w:val="00C50825"/>
    <w:rsid w:val="00C51471"/>
    <w:rsid w:val="00C56C6E"/>
    <w:rsid w:val="00C573C8"/>
    <w:rsid w:val="00C6004E"/>
    <w:rsid w:val="00C6039A"/>
    <w:rsid w:val="00C62E06"/>
    <w:rsid w:val="00C63DFE"/>
    <w:rsid w:val="00C65430"/>
    <w:rsid w:val="00C668E8"/>
    <w:rsid w:val="00C72568"/>
    <w:rsid w:val="00C73B3E"/>
    <w:rsid w:val="00C74090"/>
    <w:rsid w:val="00C84D27"/>
    <w:rsid w:val="00C87FD4"/>
    <w:rsid w:val="00C93607"/>
    <w:rsid w:val="00C946A2"/>
    <w:rsid w:val="00C96F12"/>
    <w:rsid w:val="00CA14A4"/>
    <w:rsid w:val="00CA5400"/>
    <w:rsid w:val="00CA577A"/>
    <w:rsid w:val="00CC5571"/>
    <w:rsid w:val="00CD01EC"/>
    <w:rsid w:val="00CE2E05"/>
    <w:rsid w:val="00CE51D8"/>
    <w:rsid w:val="00CE76FD"/>
    <w:rsid w:val="00CF0DF9"/>
    <w:rsid w:val="00CF6802"/>
    <w:rsid w:val="00CF75D0"/>
    <w:rsid w:val="00CF7743"/>
    <w:rsid w:val="00D015CC"/>
    <w:rsid w:val="00D01CB5"/>
    <w:rsid w:val="00D01E10"/>
    <w:rsid w:val="00D021BA"/>
    <w:rsid w:val="00D024B2"/>
    <w:rsid w:val="00D03A93"/>
    <w:rsid w:val="00D03B6D"/>
    <w:rsid w:val="00D03BD5"/>
    <w:rsid w:val="00D03C79"/>
    <w:rsid w:val="00D122DB"/>
    <w:rsid w:val="00D12CE4"/>
    <w:rsid w:val="00D15AE2"/>
    <w:rsid w:val="00D15EC5"/>
    <w:rsid w:val="00D1710E"/>
    <w:rsid w:val="00D21285"/>
    <w:rsid w:val="00D2184F"/>
    <w:rsid w:val="00D25827"/>
    <w:rsid w:val="00D277ED"/>
    <w:rsid w:val="00D31A8D"/>
    <w:rsid w:val="00D33660"/>
    <w:rsid w:val="00D413D4"/>
    <w:rsid w:val="00D42049"/>
    <w:rsid w:val="00D442FF"/>
    <w:rsid w:val="00D502D7"/>
    <w:rsid w:val="00D51456"/>
    <w:rsid w:val="00D521AC"/>
    <w:rsid w:val="00D60A90"/>
    <w:rsid w:val="00D617F3"/>
    <w:rsid w:val="00D63602"/>
    <w:rsid w:val="00D6708A"/>
    <w:rsid w:val="00D71BF2"/>
    <w:rsid w:val="00D7325E"/>
    <w:rsid w:val="00D73D8F"/>
    <w:rsid w:val="00D75A92"/>
    <w:rsid w:val="00D80EA5"/>
    <w:rsid w:val="00D847C3"/>
    <w:rsid w:val="00D907BA"/>
    <w:rsid w:val="00D90BB4"/>
    <w:rsid w:val="00D911C2"/>
    <w:rsid w:val="00D919B3"/>
    <w:rsid w:val="00D92077"/>
    <w:rsid w:val="00D941E4"/>
    <w:rsid w:val="00DA0643"/>
    <w:rsid w:val="00DA0AF9"/>
    <w:rsid w:val="00DA2130"/>
    <w:rsid w:val="00DA29EF"/>
    <w:rsid w:val="00DA2A77"/>
    <w:rsid w:val="00DA3317"/>
    <w:rsid w:val="00DA4A13"/>
    <w:rsid w:val="00DA5AA1"/>
    <w:rsid w:val="00DA7189"/>
    <w:rsid w:val="00DA777F"/>
    <w:rsid w:val="00DB32CF"/>
    <w:rsid w:val="00DB6282"/>
    <w:rsid w:val="00DC3020"/>
    <w:rsid w:val="00DC3C66"/>
    <w:rsid w:val="00DD0212"/>
    <w:rsid w:val="00DD0246"/>
    <w:rsid w:val="00DD242A"/>
    <w:rsid w:val="00DD28B2"/>
    <w:rsid w:val="00DD4619"/>
    <w:rsid w:val="00DD6C03"/>
    <w:rsid w:val="00DE12A9"/>
    <w:rsid w:val="00DF1CDF"/>
    <w:rsid w:val="00DF3184"/>
    <w:rsid w:val="00E01C49"/>
    <w:rsid w:val="00E026E0"/>
    <w:rsid w:val="00E039CF"/>
    <w:rsid w:val="00E13585"/>
    <w:rsid w:val="00E20ECB"/>
    <w:rsid w:val="00E21987"/>
    <w:rsid w:val="00E21D36"/>
    <w:rsid w:val="00E24315"/>
    <w:rsid w:val="00E31933"/>
    <w:rsid w:val="00E36D90"/>
    <w:rsid w:val="00E43CEA"/>
    <w:rsid w:val="00E447F2"/>
    <w:rsid w:val="00E454DF"/>
    <w:rsid w:val="00E52785"/>
    <w:rsid w:val="00E53A9E"/>
    <w:rsid w:val="00E55D17"/>
    <w:rsid w:val="00E56A26"/>
    <w:rsid w:val="00E60988"/>
    <w:rsid w:val="00E71D98"/>
    <w:rsid w:val="00E81226"/>
    <w:rsid w:val="00E87E3E"/>
    <w:rsid w:val="00E91070"/>
    <w:rsid w:val="00E935AF"/>
    <w:rsid w:val="00E976AB"/>
    <w:rsid w:val="00EA33A9"/>
    <w:rsid w:val="00EA3A61"/>
    <w:rsid w:val="00EA5C51"/>
    <w:rsid w:val="00EB2078"/>
    <w:rsid w:val="00EB573F"/>
    <w:rsid w:val="00EB6B7C"/>
    <w:rsid w:val="00EC438D"/>
    <w:rsid w:val="00EC6E9D"/>
    <w:rsid w:val="00ED0D28"/>
    <w:rsid w:val="00ED1769"/>
    <w:rsid w:val="00ED2258"/>
    <w:rsid w:val="00ED26D8"/>
    <w:rsid w:val="00ED2EA2"/>
    <w:rsid w:val="00ED3BF6"/>
    <w:rsid w:val="00ED4EF9"/>
    <w:rsid w:val="00ED61AD"/>
    <w:rsid w:val="00ED688B"/>
    <w:rsid w:val="00EE1D4C"/>
    <w:rsid w:val="00EE2BC0"/>
    <w:rsid w:val="00EE5324"/>
    <w:rsid w:val="00EF00B8"/>
    <w:rsid w:val="00EF32B6"/>
    <w:rsid w:val="00EF4BEE"/>
    <w:rsid w:val="00F15F10"/>
    <w:rsid w:val="00F17871"/>
    <w:rsid w:val="00F240B4"/>
    <w:rsid w:val="00F24B5E"/>
    <w:rsid w:val="00F26DD5"/>
    <w:rsid w:val="00F3075F"/>
    <w:rsid w:val="00F3243B"/>
    <w:rsid w:val="00F34887"/>
    <w:rsid w:val="00F35420"/>
    <w:rsid w:val="00F443FF"/>
    <w:rsid w:val="00F4441B"/>
    <w:rsid w:val="00F46035"/>
    <w:rsid w:val="00F462CD"/>
    <w:rsid w:val="00F4765A"/>
    <w:rsid w:val="00F50586"/>
    <w:rsid w:val="00F521C8"/>
    <w:rsid w:val="00F52703"/>
    <w:rsid w:val="00F54481"/>
    <w:rsid w:val="00F573B8"/>
    <w:rsid w:val="00F72729"/>
    <w:rsid w:val="00F756F6"/>
    <w:rsid w:val="00F75B2A"/>
    <w:rsid w:val="00F839D9"/>
    <w:rsid w:val="00F86AAE"/>
    <w:rsid w:val="00F87D11"/>
    <w:rsid w:val="00F922A0"/>
    <w:rsid w:val="00F930CF"/>
    <w:rsid w:val="00F9417B"/>
    <w:rsid w:val="00F9507B"/>
    <w:rsid w:val="00F950B9"/>
    <w:rsid w:val="00F956DC"/>
    <w:rsid w:val="00FA246F"/>
    <w:rsid w:val="00FA41BD"/>
    <w:rsid w:val="00FA507C"/>
    <w:rsid w:val="00FA6293"/>
    <w:rsid w:val="00FA7CC3"/>
    <w:rsid w:val="00FB0FF4"/>
    <w:rsid w:val="00FB5337"/>
    <w:rsid w:val="00FB588F"/>
    <w:rsid w:val="00FC421D"/>
    <w:rsid w:val="00FC5D3C"/>
    <w:rsid w:val="00FD016C"/>
    <w:rsid w:val="00FD0DC8"/>
    <w:rsid w:val="00FD10AE"/>
    <w:rsid w:val="00FD154E"/>
    <w:rsid w:val="00FD4721"/>
    <w:rsid w:val="00FD5F25"/>
    <w:rsid w:val="00FE732A"/>
    <w:rsid w:val="00FE7520"/>
    <w:rsid w:val="00FF0C15"/>
    <w:rsid w:val="00FF1232"/>
    <w:rsid w:val="00FF7BA3"/>
    <w:rsid w:val="014700E2"/>
    <w:rsid w:val="01F14CE0"/>
    <w:rsid w:val="03E2192C"/>
    <w:rsid w:val="074B43FE"/>
    <w:rsid w:val="07A7766F"/>
    <w:rsid w:val="08B7145E"/>
    <w:rsid w:val="09266EBF"/>
    <w:rsid w:val="0A0308E8"/>
    <w:rsid w:val="0B1A05A9"/>
    <w:rsid w:val="0BE04CB5"/>
    <w:rsid w:val="0D3E6AD9"/>
    <w:rsid w:val="0D51691A"/>
    <w:rsid w:val="0EE11390"/>
    <w:rsid w:val="11530944"/>
    <w:rsid w:val="11FB153D"/>
    <w:rsid w:val="1358474D"/>
    <w:rsid w:val="137919F8"/>
    <w:rsid w:val="13E93015"/>
    <w:rsid w:val="158418B2"/>
    <w:rsid w:val="16ED1B40"/>
    <w:rsid w:val="17A92035"/>
    <w:rsid w:val="18DD5A2F"/>
    <w:rsid w:val="1C7C094E"/>
    <w:rsid w:val="1CC6432B"/>
    <w:rsid w:val="1D9A54C4"/>
    <w:rsid w:val="1E122D9D"/>
    <w:rsid w:val="1E8F50B3"/>
    <w:rsid w:val="1EE62D9C"/>
    <w:rsid w:val="24CF3471"/>
    <w:rsid w:val="265D14AB"/>
    <w:rsid w:val="27EC6CE6"/>
    <w:rsid w:val="28D54E3A"/>
    <w:rsid w:val="2B023C9A"/>
    <w:rsid w:val="2DD527DC"/>
    <w:rsid w:val="2F643F15"/>
    <w:rsid w:val="2FE20FC1"/>
    <w:rsid w:val="32CA4075"/>
    <w:rsid w:val="335D7E9A"/>
    <w:rsid w:val="34AB4315"/>
    <w:rsid w:val="356B3142"/>
    <w:rsid w:val="37365F55"/>
    <w:rsid w:val="3A39372C"/>
    <w:rsid w:val="3A527660"/>
    <w:rsid w:val="3B343771"/>
    <w:rsid w:val="3C5E513F"/>
    <w:rsid w:val="3C636D00"/>
    <w:rsid w:val="410C4C6A"/>
    <w:rsid w:val="41F52311"/>
    <w:rsid w:val="43A84F1F"/>
    <w:rsid w:val="45387A5E"/>
    <w:rsid w:val="4672270A"/>
    <w:rsid w:val="4832149E"/>
    <w:rsid w:val="4B1732F9"/>
    <w:rsid w:val="4B565ABD"/>
    <w:rsid w:val="4EB04E8F"/>
    <w:rsid w:val="519B5E22"/>
    <w:rsid w:val="54BF6A40"/>
    <w:rsid w:val="54F163E6"/>
    <w:rsid w:val="55004E22"/>
    <w:rsid w:val="55FB201C"/>
    <w:rsid w:val="5B081F00"/>
    <w:rsid w:val="5D063A72"/>
    <w:rsid w:val="5D266159"/>
    <w:rsid w:val="5F1E4B69"/>
    <w:rsid w:val="5F661166"/>
    <w:rsid w:val="603008EB"/>
    <w:rsid w:val="60593313"/>
    <w:rsid w:val="639D76D8"/>
    <w:rsid w:val="648D14BE"/>
    <w:rsid w:val="65D901DC"/>
    <w:rsid w:val="67900534"/>
    <w:rsid w:val="680C4CB3"/>
    <w:rsid w:val="6834633E"/>
    <w:rsid w:val="6C206676"/>
    <w:rsid w:val="6C372CBC"/>
    <w:rsid w:val="6D6A1120"/>
    <w:rsid w:val="6DAE6A19"/>
    <w:rsid w:val="6F296E0F"/>
    <w:rsid w:val="6FC969CA"/>
    <w:rsid w:val="722A19B3"/>
    <w:rsid w:val="76B8542C"/>
    <w:rsid w:val="777D20D6"/>
    <w:rsid w:val="789C0277"/>
    <w:rsid w:val="79DA29BD"/>
    <w:rsid w:val="7B2D19F8"/>
    <w:rsid w:val="7C690205"/>
    <w:rsid w:val="7D9875BE"/>
    <w:rsid w:val="7E1A151F"/>
    <w:rsid w:val="7F86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2"/>
    <w:semiHidden/>
    <w:unhideWhenUsed/>
    <w:qFormat/>
    <w:uiPriority w:val="99"/>
  </w:style>
  <w:style w:type="paragraph" w:styleId="12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3">
    <w:name w:val="header"/>
    <w:basedOn w:val="1"/>
    <w:link w:val="21"/>
    <w:unhideWhenUsed/>
    <w:qFormat/>
    <w:uiPriority w:val="0"/>
    <w:pPr>
      <w:tabs>
        <w:tab w:val="center" w:pos="4153"/>
        <w:tab w:val="right" w:pos="8306"/>
      </w:tabs>
      <w:adjustRightInd w:val="0"/>
      <w:snapToGrid w:val="0"/>
      <w:spacing w:after="0" w:line="240" w:lineRule="auto"/>
      <w:jc w:val="center"/>
    </w:pPr>
    <w:rPr>
      <w:rFonts w:ascii="Times New Roman" w:hAnsi="Times New Roman" w:eastAsia="仿宋_GB2312"/>
      <w:sz w:val="18"/>
      <w:szCs w:val="18"/>
    </w:rPr>
  </w:style>
  <w:style w:type="paragraph" w:styleId="14">
    <w:name w:val="Subtitle"/>
    <w:basedOn w:val="1"/>
    <w:next w:val="1"/>
    <w:link w:val="32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31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annotation subject"/>
    <w:basedOn w:val="11"/>
    <w:next w:val="11"/>
    <w:link w:val="43"/>
    <w:semiHidden/>
    <w:unhideWhenUsed/>
    <w:qFormat/>
    <w:uiPriority w:val="99"/>
    <w:rPr>
      <w:b/>
      <w:bCs/>
    </w:rPr>
  </w:style>
  <w:style w:type="table" w:styleId="18">
    <w:name w:val="Table Grid"/>
    <w:basedOn w:val="1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annotation reference"/>
    <w:basedOn w:val="19"/>
    <w:semiHidden/>
    <w:unhideWhenUsed/>
    <w:qFormat/>
    <w:uiPriority w:val="99"/>
    <w:rPr>
      <w:sz w:val="21"/>
      <w:szCs w:val="21"/>
    </w:rPr>
  </w:style>
  <w:style w:type="character" w:customStyle="1" w:styleId="21">
    <w:name w:val="页眉 字符"/>
    <w:basedOn w:val="19"/>
    <w:link w:val="13"/>
    <w:qFormat/>
    <w:uiPriority w:val="0"/>
    <w:rPr>
      <w:rFonts w:ascii="Times New Roman" w:hAnsi="Times New Roman" w:eastAsia="仿宋_GB2312"/>
      <w:sz w:val="18"/>
      <w:szCs w:val="18"/>
    </w:rPr>
  </w:style>
  <w:style w:type="character" w:customStyle="1" w:styleId="22">
    <w:name w:val="标题 1 字符"/>
    <w:basedOn w:val="19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3">
    <w:name w:val="标题 2 字符"/>
    <w:basedOn w:val="19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4">
    <w:name w:val="标题 3 字符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5">
    <w:name w:val="标题 4 字符"/>
    <w:basedOn w:val="19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6">
    <w:name w:val="标题 5 字符"/>
    <w:basedOn w:val="19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7">
    <w:name w:val="标题 6 字符"/>
    <w:basedOn w:val="19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8">
    <w:name w:val="标题 7 字符"/>
    <w:basedOn w:val="19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8 字符"/>
    <w:basedOn w:val="19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9 字符"/>
    <w:basedOn w:val="19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字符"/>
    <w:basedOn w:val="19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副标题 字符"/>
    <w:basedOn w:val="19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引用 字符"/>
    <w:basedOn w:val="19"/>
    <w:link w:val="3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明显强调1"/>
    <w:basedOn w:val="19"/>
    <w:qFormat/>
    <w:uiPriority w:val="21"/>
    <w:rPr>
      <w:i/>
      <w:iCs/>
      <w:color w:val="2F5597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8">
    <w:name w:val="明显引用 字符"/>
    <w:basedOn w:val="19"/>
    <w:link w:val="37"/>
    <w:qFormat/>
    <w:uiPriority w:val="30"/>
    <w:rPr>
      <w:i/>
      <w:iCs/>
      <w:color w:val="2F5597" w:themeColor="accent1" w:themeShade="BF"/>
    </w:rPr>
  </w:style>
  <w:style w:type="character" w:customStyle="1" w:styleId="39">
    <w:name w:val="明显参考1"/>
    <w:basedOn w:val="19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40">
    <w:name w:val="页脚 字符"/>
    <w:basedOn w:val="19"/>
    <w:link w:val="12"/>
    <w:qFormat/>
    <w:uiPriority w:val="99"/>
    <w:rPr>
      <w:sz w:val="18"/>
      <w:szCs w:val="18"/>
    </w:rPr>
  </w:style>
  <w:style w:type="paragraph" w:customStyle="1" w:styleId="41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customStyle="1" w:styleId="42">
    <w:name w:val="批注文字 字符"/>
    <w:basedOn w:val="19"/>
    <w:link w:val="11"/>
    <w:semiHidden/>
    <w:qFormat/>
    <w:uiPriority w:val="99"/>
  </w:style>
  <w:style w:type="character" w:customStyle="1" w:styleId="43">
    <w:name w:val="批注主题 字符"/>
    <w:basedOn w:val="42"/>
    <w:link w:val="16"/>
    <w:semiHidden/>
    <w:qFormat/>
    <w:uiPriority w:val="99"/>
    <w:rPr>
      <w:b/>
      <w:bCs/>
    </w:rPr>
  </w:style>
  <w:style w:type="character" w:customStyle="1" w:styleId="44">
    <w:name w:val="font31"/>
    <w:basedOn w:val="19"/>
    <w:qFormat/>
    <w:uiPriority w:val="0"/>
    <w:rPr>
      <w:rFonts w:ascii="Calibri" w:hAnsi="Calibri" w:cs="Calibri"/>
      <w:color w:val="000000"/>
      <w:sz w:val="24"/>
      <w:szCs w:val="24"/>
      <w:u w:val="none"/>
    </w:rPr>
  </w:style>
  <w:style w:type="character" w:customStyle="1" w:styleId="45">
    <w:name w:val="font21"/>
    <w:basedOn w:val="1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6">
    <w:name w:val="font01"/>
    <w:basedOn w:val="1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47">
    <w:name w:val="font41"/>
    <w:basedOn w:val="1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48">
    <w:name w:val="font51"/>
    <w:basedOn w:val="1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49">
    <w:name w:val="font61"/>
    <w:basedOn w:val="19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50">
    <w:name w:val="font11"/>
    <w:basedOn w:val="1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F06FC44-E1EF-4128-A4C1-BE76627744C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2206</Words>
  <Characters>2358</Characters>
  <Lines>12</Lines>
  <Paragraphs>15</Paragraphs>
  <TotalTime>0</TotalTime>
  <ScaleCrop>false</ScaleCrop>
  <LinksUpToDate>false</LinksUpToDate>
  <CharactersWithSpaces>2379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2025-07-17T09:14:00Z</dcterms:created>
  <dc:creator>fei yu</dc:creator>
  <cp:lastModifiedBy>古维C</cp:lastModifiedBy>
  <cp:lastPrinted>2025-07-17T08:55:00Z</cp:lastPrinted>
  <dcterms:modified xsi:type="dcterms:W3CDTF">2026-09-23T09:42:38Z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eyJoZGlkIjoiYmZjNjZhYzdjZjdiY2IyYTg2MTQwNWM5ZWE2MjRhM2UiLCJ1c2VySWQiOiI3MTM1NDU4NzAifQ==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08E9B0163F16432A8D883F7A3674FF85_13</vt:lpwstr>
  </property>
</Properties>
</file>