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8A3FF">
      <w:pPr>
        <w:pStyle w:val="2"/>
        <w:spacing w:before="0"/>
        <w:jc w:val="center"/>
        <w:rPr>
          <w:rFonts w:hint="eastAsia" w:ascii="黑体" w:hAnsi="黑体" w:eastAsia="黑体"/>
          <w:b/>
          <w:bCs/>
          <w:color w:val="auto"/>
          <w:sz w:val="40"/>
          <w:szCs w:val="40"/>
        </w:rPr>
      </w:pPr>
      <w:r>
        <w:rPr>
          <w:rFonts w:hint="eastAsia" w:ascii="黑体" w:hAnsi="黑体" w:eastAsia="黑体"/>
          <w:b/>
          <w:bCs/>
          <w:color w:val="auto"/>
          <w:sz w:val="40"/>
          <w:szCs w:val="40"/>
          <w:lang w:val="en-US" w:eastAsia="zh-CN"/>
        </w:rPr>
        <w:t>耗材/试剂</w:t>
      </w:r>
      <w:r>
        <w:rPr>
          <w:rFonts w:hint="eastAsia" w:ascii="黑体" w:hAnsi="黑体" w:eastAsia="黑体"/>
          <w:b/>
          <w:bCs/>
          <w:color w:val="auto"/>
          <w:sz w:val="40"/>
          <w:szCs w:val="40"/>
        </w:rPr>
        <w:t>采购需求</w:t>
      </w:r>
    </w:p>
    <w:p w14:paraId="688E70D0">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总体要求：</w:t>
      </w:r>
    </w:p>
    <w:p w14:paraId="2CB371EF">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1.本次议价的医用耗材需符合临床使用的基本标准。</w:t>
      </w:r>
    </w:p>
    <w:p w14:paraId="5CDB0A6A">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2.供货期间，如原中标企业无法提供有效的授权文件，或有效执行浙江省医保“两定机构医疗保障信息平台”的规程，我院有权终止该企业供货资格。</w:t>
      </w:r>
    </w:p>
    <w:p w14:paraId="0F2E3481">
      <w:pPr>
        <w:keepNext w:val="0"/>
        <w:keepLines w:val="0"/>
        <w:widowControl/>
        <w:suppressLineNumbers w:val="0"/>
        <w:jc w:val="left"/>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具体要求：</w:t>
      </w:r>
    </w:p>
    <w:tbl>
      <w:tblPr>
        <w:tblStyle w:val="18"/>
        <w:tblW w:w="9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922"/>
        <w:gridCol w:w="4000"/>
        <w:gridCol w:w="3086"/>
      </w:tblGrid>
      <w:tr w14:paraId="37AD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2" w:type="dxa"/>
            <w:shd w:val="clear" w:color="auto" w:fill="D0CECE" w:themeFill="background2" w:themeFillShade="E6"/>
            <w:vAlign w:val="center"/>
          </w:tcPr>
          <w:p w14:paraId="00EB4D37">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序号</w:t>
            </w:r>
          </w:p>
        </w:tc>
        <w:tc>
          <w:tcPr>
            <w:tcW w:w="1922" w:type="dxa"/>
            <w:shd w:val="clear" w:color="auto" w:fill="D0CECE" w:themeFill="background2" w:themeFillShade="E6"/>
            <w:vAlign w:val="center"/>
          </w:tcPr>
          <w:p w14:paraId="26641EB1">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产品名称</w:t>
            </w:r>
          </w:p>
        </w:tc>
        <w:tc>
          <w:tcPr>
            <w:tcW w:w="4000" w:type="dxa"/>
            <w:shd w:val="clear" w:color="auto" w:fill="D0CECE" w:themeFill="background2" w:themeFillShade="E6"/>
            <w:vAlign w:val="center"/>
          </w:tcPr>
          <w:p w14:paraId="147B6DAA">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用途</w:t>
            </w:r>
          </w:p>
        </w:tc>
        <w:tc>
          <w:tcPr>
            <w:tcW w:w="3086" w:type="dxa"/>
            <w:shd w:val="clear" w:color="auto" w:fill="D0CECE" w:themeFill="background2" w:themeFillShade="E6"/>
            <w:vAlign w:val="center"/>
          </w:tcPr>
          <w:p w14:paraId="35545514">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参数要求</w:t>
            </w:r>
          </w:p>
        </w:tc>
      </w:tr>
      <w:tr w14:paraId="7116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color="auto" w:fill="auto"/>
            <w:vAlign w:val="center"/>
          </w:tcPr>
          <w:p w14:paraId="44B4EC29">
            <w:pPr>
              <w:spacing w:after="0" w:line="240" w:lineRule="auto"/>
              <w:jc w:val="center"/>
              <w:rPr>
                <w:rFonts w:hint="default" w:ascii="仿宋_GB2312" w:eastAsia="仿宋_GB2312"/>
                <w:sz w:val="24"/>
                <w:lang w:val="en-US" w:eastAsia="zh-CN"/>
              </w:rPr>
            </w:pPr>
            <w:r>
              <w:rPr>
                <w:rFonts w:hint="eastAsia" w:ascii="仿宋_GB2312" w:eastAsia="仿宋_GB2312"/>
                <w:sz w:val="24"/>
                <w:lang w:val="en-US" w:eastAsia="zh-CN"/>
              </w:rPr>
              <w:t>1</w:t>
            </w:r>
          </w:p>
        </w:tc>
        <w:tc>
          <w:tcPr>
            <w:tcW w:w="1922" w:type="dxa"/>
            <w:shd w:val="clear" w:color="auto" w:fill="FFFFFF"/>
            <w:vAlign w:val="center"/>
          </w:tcPr>
          <w:p w14:paraId="0C8D7819">
            <w:pPr>
              <w:spacing w:after="0" w:line="240" w:lineRule="auto"/>
              <w:jc w:val="center"/>
              <w:rPr>
                <w:rFonts w:hint="default" w:ascii="仿宋_GB2312" w:eastAsia="仿宋_GB2312"/>
                <w:sz w:val="24"/>
                <w:lang w:val="en-US" w:eastAsia="zh-CN"/>
              </w:rPr>
            </w:pPr>
            <w:r>
              <w:rPr>
                <w:rFonts w:hint="eastAsia" w:ascii="仿宋_GB2312" w:eastAsia="仿宋_GB2312"/>
                <w:sz w:val="24"/>
                <w:lang w:val="en-US" w:eastAsia="zh-CN"/>
              </w:rPr>
              <w:t xml:space="preserve"> BK病毒核酸定量检测试剂盒</w:t>
            </w:r>
          </w:p>
        </w:tc>
        <w:tc>
          <w:tcPr>
            <w:tcW w:w="4000" w:type="dxa"/>
            <w:shd w:val="clear" w:color="auto" w:fill="FFFFFF"/>
            <w:vAlign w:val="center"/>
          </w:tcPr>
          <w:p w14:paraId="266B4B79">
            <w:pPr>
              <w:spacing w:after="0" w:line="240" w:lineRule="auto"/>
              <w:jc w:val="center"/>
              <w:rPr>
                <w:rFonts w:hint="default" w:ascii="仿宋_GB2312" w:eastAsia="仿宋_GB2312"/>
                <w:sz w:val="24"/>
                <w:lang w:val="en-US" w:eastAsia="zh-CN"/>
              </w:rPr>
            </w:pPr>
            <w:r>
              <w:rPr>
                <w:rFonts w:hint="eastAsia" w:ascii="仿宋_GB2312" w:eastAsia="仿宋_GB2312"/>
                <w:sz w:val="24"/>
                <w:lang w:val="en-US" w:eastAsia="zh-CN"/>
              </w:rPr>
              <w:t>本产品用于人体血清、血浆和尿液样本中BK病毒核酸的定量检测。</w:t>
            </w:r>
          </w:p>
        </w:tc>
        <w:tc>
          <w:tcPr>
            <w:tcW w:w="3086" w:type="dxa"/>
            <w:shd w:val="clear" w:color="auto" w:fill="FFFFFF"/>
            <w:vAlign w:val="center"/>
          </w:tcPr>
          <w:p w14:paraId="53AFE7A4">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（1）参考单位：T/盒</w:t>
            </w:r>
          </w:p>
        </w:tc>
      </w:tr>
      <w:tr w14:paraId="550B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color="auto" w:fill="auto"/>
            <w:vAlign w:val="center"/>
          </w:tcPr>
          <w:p w14:paraId="10E43086">
            <w:pPr>
              <w:spacing w:after="0" w:line="240" w:lineRule="auto"/>
              <w:jc w:val="center"/>
              <w:rPr>
                <w:rFonts w:hint="default" w:ascii="仿宋_GB2312" w:eastAsia="仿宋_GB2312"/>
                <w:sz w:val="24"/>
                <w:lang w:val="en-US" w:eastAsia="zh-CN"/>
              </w:rPr>
            </w:pPr>
            <w:r>
              <w:rPr>
                <w:rFonts w:hint="eastAsia" w:ascii="仿宋_GB2312" w:eastAsia="仿宋_GB2312"/>
                <w:sz w:val="24"/>
                <w:lang w:val="en-US" w:eastAsia="zh-CN"/>
              </w:rPr>
              <w:t>2</w:t>
            </w:r>
          </w:p>
        </w:tc>
        <w:tc>
          <w:tcPr>
            <w:tcW w:w="1922" w:type="dxa"/>
            <w:shd w:val="clear" w:color="auto" w:fill="FFFFFF"/>
            <w:vAlign w:val="center"/>
          </w:tcPr>
          <w:p w14:paraId="4CA390C9">
            <w:pPr>
              <w:spacing w:after="0" w:line="240" w:lineRule="auto"/>
              <w:jc w:val="center"/>
              <w:rPr>
                <w:rFonts w:hint="default" w:ascii="仿宋_GB2312" w:eastAsia="仿宋_GB2312"/>
                <w:sz w:val="24"/>
                <w:lang w:val="en-US" w:eastAsia="zh-CN"/>
              </w:rPr>
            </w:pPr>
            <w:r>
              <w:rPr>
                <w:rFonts w:hint="eastAsia" w:ascii="仿宋_GB2312" w:eastAsia="仿宋_GB2312"/>
                <w:sz w:val="24"/>
                <w:lang w:val="en-US" w:eastAsia="zh-CN"/>
              </w:rPr>
              <w:t>JC病毒核酸定量检测试剂盒</w:t>
            </w:r>
          </w:p>
        </w:tc>
        <w:tc>
          <w:tcPr>
            <w:tcW w:w="4000" w:type="dxa"/>
            <w:shd w:val="clear" w:color="auto" w:fill="FFFFFF"/>
            <w:vAlign w:val="center"/>
          </w:tcPr>
          <w:p w14:paraId="3E2F1689">
            <w:pPr>
              <w:spacing w:after="0" w:line="240" w:lineRule="auto"/>
              <w:jc w:val="center"/>
              <w:rPr>
                <w:rFonts w:hint="default" w:ascii="仿宋_GB2312" w:eastAsia="仿宋_GB2312"/>
                <w:sz w:val="24"/>
                <w:lang w:val="en-US" w:eastAsia="zh-CN"/>
              </w:rPr>
            </w:pPr>
            <w:r>
              <w:rPr>
                <w:rFonts w:hint="eastAsia" w:ascii="仿宋_GB2312" w:eastAsia="仿宋_GB2312"/>
                <w:sz w:val="24"/>
                <w:lang w:val="en-US" w:eastAsia="zh-CN"/>
              </w:rPr>
              <w:t>本产品用于人体血清、血浆和尿液样本中的JC病毒核酸的定量检测。</w:t>
            </w:r>
          </w:p>
        </w:tc>
        <w:tc>
          <w:tcPr>
            <w:tcW w:w="3086" w:type="dxa"/>
            <w:shd w:val="clear" w:color="auto" w:fill="FFFFFF"/>
            <w:vAlign w:val="center"/>
          </w:tcPr>
          <w:p w14:paraId="1EA31E59">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（1）参考单位：T/盒</w:t>
            </w:r>
          </w:p>
        </w:tc>
      </w:tr>
      <w:tr w14:paraId="4C9CD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192CE4C0">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3</w:t>
            </w:r>
          </w:p>
        </w:tc>
        <w:tc>
          <w:tcPr>
            <w:tcW w:w="1922" w:type="dxa"/>
            <w:shd w:val="clear"/>
            <w:vAlign w:val="center"/>
          </w:tcPr>
          <w:p w14:paraId="2D15BEE6">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产垫（医用检查垫）</w:t>
            </w:r>
          </w:p>
        </w:tc>
        <w:tc>
          <w:tcPr>
            <w:tcW w:w="4000" w:type="dxa"/>
            <w:shd w:val="clear" w:color="auto" w:fill="FFFFFF"/>
            <w:vAlign w:val="center"/>
          </w:tcPr>
          <w:p w14:paraId="593BD954">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病床或检查床上用的卫生护理用品。</w:t>
            </w:r>
          </w:p>
        </w:tc>
        <w:tc>
          <w:tcPr>
            <w:tcW w:w="3086" w:type="dxa"/>
            <w:shd w:val="clear" w:color="auto" w:fill="FFFFFF"/>
            <w:vAlign w:val="center"/>
          </w:tcPr>
          <w:p w14:paraId="3D1C6881">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（1）参考规格：60*60</w:t>
            </w:r>
            <w:r>
              <w:rPr>
                <w:rFonts w:hint="eastAsia" w:ascii="仿宋_GB2312" w:eastAsia="仿宋_GB2312"/>
                <w:sz w:val="24"/>
                <w:lang w:val="en-US" w:eastAsia="zh-CN"/>
              </w:rPr>
              <w:br w:type="textWrapping"/>
            </w:r>
            <w:r>
              <w:rPr>
                <w:rFonts w:hint="eastAsia" w:ascii="仿宋_GB2312" w:eastAsia="仿宋_GB2312"/>
                <w:sz w:val="24"/>
                <w:lang w:val="en-US" w:eastAsia="zh-CN"/>
              </w:rPr>
              <w:t>（2）一次性使用</w:t>
            </w:r>
          </w:p>
        </w:tc>
      </w:tr>
      <w:tr w14:paraId="251A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6754F1C1">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4</w:t>
            </w:r>
          </w:p>
        </w:tc>
        <w:tc>
          <w:tcPr>
            <w:tcW w:w="1922" w:type="dxa"/>
            <w:shd w:val="clear"/>
            <w:vAlign w:val="center"/>
          </w:tcPr>
          <w:p w14:paraId="7931FB5F">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棉垫</w:t>
            </w:r>
          </w:p>
        </w:tc>
        <w:tc>
          <w:tcPr>
            <w:tcW w:w="4000" w:type="dxa"/>
            <w:shd w:val="clear" w:color="auto" w:fill="FFFFFF"/>
            <w:vAlign w:val="center"/>
          </w:tcPr>
          <w:p w14:paraId="2ACFC12D">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医用敷料。</w:t>
            </w:r>
            <w:r>
              <w:rPr>
                <w:rFonts w:hint="eastAsia" w:ascii="仿宋_GB2312" w:eastAsia="仿宋_GB2312"/>
                <w:sz w:val="24"/>
                <w:lang w:val="en-US" w:eastAsia="zh-CN"/>
              </w:rPr>
              <w:br w:type="textWrapping"/>
            </w:r>
            <w:r>
              <w:rPr>
                <w:rFonts w:hint="eastAsia" w:ascii="仿宋_GB2312" w:eastAsia="仿宋_GB2312"/>
                <w:sz w:val="24"/>
                <w:lang w:val="en-US" w:eastAsia="zh-CN"/>
              </w:rPr>
              <w:t>产品供医疗机构作敷垫和吸附组织渗出液用。</w:t>
            </w:r>
          </w:p>
        </w:tc>
        <w:tc>
          <w:tcPr>
            <w:tcW w:w="3086" w:type="dxa"/>
            <w:shd w:val="clear" w:color="auto" w:fill="FFFFFF"/>
            <w:vAlign w:val="center"/>
          </w:tcPr>
          <w:p w14:paraId="365C8913">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（1）参考规格：30*30cm，60*60cm，55*55cm</w:t>
            </w:r>
            <w:r>
              <w:rPr>
                <w:rFonts w:hint="eastAsia" w:ascii="仿宋_GB2312" w:eastAsia="仿宋_GB2312"/>
                <w:sz w:val="24"/>
                <w:lang w:val="en-US" w:eastAsia="zh-CN"/>
              </w:rPr>
              <w:br w:type="textWrapping"/>
            </w:r>
            <w:r>
              <w:rPr>
                <w:rFonts w:hint="eastAsia" w:ascii="仿宋_GB2312" w:eastAsia="仿宋_GB2312"/>
                <w:sz w:val="24"/>
                <w:lang w:val="en-US" w:eastAsia="zh-CN"/>
              </w:rPr>
              <w:t>（2）一次性使用</w:t>
            </w:r>
          </w:p>
        </w:tc>
      </w:tr>
      <w:tr w14:paraId="3F34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41F9CE54">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5</w:t>
            </w:r>
          </w:p>
        </w:tc>
        <w:tc>
          <w:tcPr>
            <w:tcW w:w="1922" w:type="dxa"/>
            <w:shd w:val="clear"/>
            <w:vAlign w:val="center"/>
          </w:tcPr>
          <w:p w14:paraId="5B18BA94">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手术包</w:t>
            </w:r>
          </w:p>
        </w:tc>
        <w:tc>
          <w:tcPr>
            <w:tcW w:w="4000" w:type="dxa"/>
            <w:shd w:val="clear" w:color="auto" w:fill="FFFFFF"/>
            <w:vAlign w:val="center"/>
          </w:tcPr>
          <w:p w14:paraId="6403F42E">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供医疗单位进行手术时使用。</w:t>
            </w:r>
          </w:p>
        </w:tc>
        <w:tc>
          <w:tcPr>
            <w:tcW w:w="3086" w:type="dxa"/>
            <w:shd w:val="clear" w:color="auto" w:fill="FFFFFF"/>
            <w:vAlign w:val="center"/>
          </w:tcPr>
          <w:p w14:paraId="3741BC34">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（1）参考规格：10型/放射介入，11型-1/心内介入，F-40/超声介入包，F-45/内镜介入包；</w:t>
            </w:r>
            <w:r>
              <w:rPr>
                <w:rFonts w:hint="eastAsia" w:ascii="仿宋_GB2312" w:eastAsia="仿宋_GB2312"/>
                <w:sz w:val="24"/>
                <w:lang w:val="en-US" w:eastAsia="zh-CN"/>
              </w:rPr>
              <w:br w:type="textWrapping"/>
            </w:r>
            <w:r>
              <w:rPr>
                <w:rFonts w:hint="eastAsia" w:ascii="仿宋_GB2312" w:eastAsia="仿宋_GB2312"/>
                <w:sz w:val="24"/>
                <w:lang w:val="en-US" w:eastAsia="zh-CN"/>
              </w:rPr>
              <w:t>（2）一次性使用</w:t>
            </w:r>
          </w:p>
        </w:tc>
      </w:tr>
      <w:tr w14:paraId="2E898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35D13179">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6</w:t>
            </w:r>
          </w:p>
        </w:tc>
        <w:tc>
          <w:tcPr>
            <w:tcW w:w="1922" w:type="dxa"/>
            <w:shd w:val="clear"/>
            <w:vAlign w:val="center"/>
          </w:tcPr>
          <w:p w14:paraId="78E857B4">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吸液袋</w:t>
            </w:r>
          </w:p>
        </w:tc>
        <w:tc>
          <w:tcPr>
            <w:tcW w:w="4000" w:type="dxa"/>
            <w:shd w:val="clear" w:color="auto" w:fill="FFFFFF"/>
            <w:vAlign w:val="center"/>
          </w:tcPr>
          <w:p w14:paraId="2F9A28CC">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供临床手术中收集、隔离和引流废弃液，包覆器械、设备与外界环境隔离，或收集组织及标本，保护手术区域及相关手术器械免受污染，保持手术区域的无菌环境，具有隔离防护作用。</w:t>
            </w:r>
          </w:p>
        </w:tc>
        <w:tc>
          <w:tcPr>
            <w:tcW w:w="3086" w:type="dxa"/>
            <w:shd w:val="clear" w:color="auto" w:fill="FFFFFF"/>
            <w:vAlign w:val="center"/>
          </w:tcPr>
          <w:p w14:paraId="640744E1">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（1）参考规格：大号, 20*28； 中号, 12*17；</w:t>
            </w:r>
            <w:r>
              <w:rPr>
                <w:rFonts w:hint="eastAsia" w:ascii="仿宋_GB2312" w:eastAsia="仿宋_GB2312"/>
                <w:sz w:val="24"/>
                <w:lang w:val="en-US" w:eastAsia="zh-CN"/>
              </w:rPr>
              <w:br w:type="textWrapping"/>
            </w:r>
            <w:r>
              <w:rPr>
                <w:rFonts w:hint="eastAsia" w:ascii="仿宋_GB2312" w:eastAsia="仿宋_GB2312"/>
                <w:sz w:val="24"/>
                <w:lang w:val="en-US" w:eastAsia="zh-CN"/>
              </w:rPr>
              <w:t>（2）一次性使用</w:t>
            </w:r>
          </w:p>
        </w:tc>
      </w:tr>
      <w:tr w14:paraId="3D48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6B1624FC">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7</w:t>
            </w:r>
          </w:p>
        </w:tc>
        <w:tc>
          <w:tcPr>
            <w:tcW w:w="1922" w:type="dxa"/>
            <w:shd w:val="clear"/>
            <w:vAlign w:val="center"/>
          </w:tcPr>
          <w:p w14:paraId="2746C835">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硅胶负压球</w:t>
            </w:r>
          </w:p>
        </w:tc>
        <w:tc>
          <w:tcPr>
            <w:tcW w:w="4000" w:type="dxa"/>
            <w:shd w:val="clear" w:color="auto" w:fill="FFFFFF"/>
            <w:vAlign w:val="center"/>
          </w:tcPr>
          <w:p w14:paraId="629D18B1">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供术后负压引流吸引体液用。</w:t>
            </w:r>
          </w:p>
        </w:tc>
        <w:tc>
          <w:tcPr>
            <w:tcW w:w="3086" w:type="dxa"/>
            <w:shd w:val="clear" w:color="auto" w:fill="FFFFFF"/>
            <w:vAlign w:val="center"/>
          </w:tcPr>
          <w:p w14:paraId="4CBFE3CA">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（1）参考规格：200ml；</w:t>
            </w:r>
            <w:r>
              <w:rPr>
                <w:rFonts w:hint="eastAsia" w:ascii="仿宋_GB2312" w:eastAsia="仿宋_GB2312"/>
                <w:sz w:val="24"/>
                <w:lang w:val="en-US" w:eastAsia="zh-CN"/>
              </w:rPr>
              <w:br w:type="textWrapping"/>
            </w:r>
            <w:r>
              <w:rPr>
                <w:rFonts w:hint="eastAsia" w:ascii="仿宋_GB2312" w:eastAsia="仿宋_GB2312"/>
                <w:sz w:val="24"/>
                <w:lang w:val="en-US" w:eastAsia="zh-CN"/>
              </w:rPr>
              <w:t>（2）单位：个</w:t>
            </w:r>
          </w:p>
        </w:tc>
      </w:tr>
      <w:tr w14:paraId="4866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722" w:type="dxa"/>
            <w:shd w:val="clear"/>
            <w:vAlign w:val="center"/>
          </w:tcPr>
          <w:p w14:paraId="200103BE">
            <w:pPr>
              <w:spacing w:after="0" w:line="240" w:lineRule="auto"/>
              <w:jc w:val="center"/>
              <w:rPr>
                <w:rFonts w:hint="eastAsia" w:ascii="仿宋_GB2312" w:eastAsia="仿宋_GB2312"/>
                <w:sz w:val="24"/>
                <w:lang w:val="en-US" w:eastAsia="zh-CN"/>
              </w:rPr>
            </w:pPr>
            <w:bookmarkStart w:id="0" w:name="_GoBack" w:colFirst="2" w:colLast="2"/>
            <w:r>
              <w:rPr>
                <w:rFonts w:hint="eastAsia" w:ascii="仿宋_GB2312" w:eastAsia="仿宋_GB2312"/>
                <w:sz w:val="24"/>
                <w:lang w:val="en-US" w:eastAsia="zh-CN"/>
              </w:rPr>
              <w:t>8</w:t>
            </w:r>
          </w:p>
        </w:tc>
        <w:tc>
          <w:tcPr>
            <w:tcW w:w="1922" w:type="dxa"/>
            <w:shd w:val="clear"/>
            <w:vAlign w:val="center"/>
          </w:tcPr>
          <w:p w14:paraId="4F85602C">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引流瓶</w:t>
            </w:r>
          </w:p>
        </w:tc>
        <w:tc>
          <w:tcPr>
            <w:tcW w:w="4000" w:type="dxa"/>
            <w:shd w:val="clear" w:color="auto" w:fill="FFFFFF"/>
            <w:vAlign w:val="center"/>
          </w:tcPr>
          <w:p w14:paraId="4C1C36A4">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与吸引器连接供医院临床负压吸引存放废液用。</w:t>
            </w:r>
          </w:p>
        </w:tc>
        <w:tc>
          <w:tcPr>
            <w:tcW w:w="3086" w:type="dxa"/>
            <w:shd w:val="clear" w:color="auto" w:fill="FFFFFF"/>
            <w:vAlign w:val="center"/>
          </w:tcPr>
          <w:p w14:paraId="58EB512E">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（1）参考规格：3500ml；</w:t>
            </w:r>
            <w:r>
              <w:rPr>
                <w:rFonts w:hint="eastAsia" w:ascii="仿宋_GB2312" w:eastAsia="仿宋_GB2312"/>
                <w:sz w:val="24"/>
                <w:lang w:val="en-US" w:eastAsia="zh-CN"/>
              </w:rPr>
              <w:br w:type="textWrapping"/>
            </w:r>
            <w:r>
              <w:rPr>
                <w:rFonts w:hint="eastAsia" w:ascii="仿宋_GB2312" w:eastAsia="仿宋_GB2312"/>
                <w:sz w:val="24"/>
                <w:lang w:val="en-US" w:eastAsia="zh-CN"/>
              </w:rPr>
              <w:t>（2）单位：个</w:t>
            </w:r>
          </w:p>
        </w:tc>
      </w:tr>
      <w:tr w14:paraId="3B9B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722" w:type="dxa"/>
            <w:shd w:val="clear"/>
            <w:vAlign w:val="center"/>
          </w:tcPr>
          <w:p w14:paraId="0B8FE315">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9</w:t>
            </w:r>
          </w:p>
        </w:tc>
        <w:tc>
          <w:tcPr>
            <w:tcW w:w="1922" w:type="dxa"/>
            <w:shd w:val="clear"/>
            <w:vAlign w:val="center"/>
          </w:tcPr>
          <w:p w14:paraId="5C56C147">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吸引器连接管</w:t>
            </w:r>
          </w:p>
        </w:tc>
        <w:tc>
          <w:tcPr>
            <w:tcW w:w="4000" w:type="dxa"/>
            <w:shd w:val="clear" w:color="auto" w:fill="FFFFFF"/>
            <w:vAlign w:val="center"/>
          </w:tcPr>
          <w:p w14:paraId="4C7A35BE">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与吸引器配合供临床吸引用。</w:t>
            </w:r>
          </w:p>
        </w:tc>
        <w:tc>
          <w:tcPr>
            <w:tcW w:w="3086" w:type="dxa"/>
            <w:shd w:val="clear" w:color="auto" w:fill="FFFFFF"/>
            <w:vAlign w:val="center"/>
          </w:tcPr>
          <w:p w14:paraId="5040897A">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（1）参考规格：F30胃镜室定制/单头；F30胃镜室定制/双头；中心F28,中心F30（；</w:t>
            </w:r>
            <w:r>
              <w:rPr>
                <w:rFonts w:hint="eastAsia" w:ascii="仿宋_GB2312" w:eastAsia="仿宋_GB2312"/>
                <w:sz w:val="24"/>
                <w:lang w:val="en-US" w:eastAsia="zh-CN"/>
              </w:rPr>
              <w:br w:type="textWrapping"/>
            </w:r>
            <w:r>
              <w:rPr>
                <w:rFonts w:hint="eastAsia" w:ascii="仿宋_GB2312" w:eastAsia="仿宋_GB2312"/>
                <w:sz w:val="24"/>
                <w:lang w:val="en-US" w:eastAsia="zh-CN"/>
              </w:rPr>
              <w:t>（2）单位：个</w:t>
            </w:r>
          </w:p>
        </w:tc>
      </w:tr>
      <w:tr w14:paraId="3CAF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722" w:type="dxa"/>
            <w:shd w:val="clear"/>
            <w:vAlign w:val="center"/>
          </w:tcPr>
          <w:p w14:paraId="7E036DAB">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10</w:t>
            </w:r>
          </w:p>
        </w:tc>
        <w:tc>
          <w:tcPr>
            <w:tcW w:w="1922" w:type="dxa"/>
            <w:shd w:val="clear"/>
            <w:vAlign w:val="center"/>
          </w:tcPr>
          <w:p w14:paraId="42AAFE30">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腹腔引流管</w:t>
            </w:r>
          </w:p>
        </w:tc>
        <w:tc>
          <w:tcPr>
            <w:tcW w:w="4000" w:type="dxa"/>
            <w:shd w:val="clear" w:color="auto" w:fill="FFFFFF"/>
            <w:vAlign w:val="center"/>
          </w:tcPr>
          <w:p w14:paraId="1CBCE68D">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供临床引流用。</w:t>
            </w:r>
          </w:p>
        </w:tc>
        <w:tc>
          <w:tcPr>
            <w:tcW w:w="3086" w:type="dxa"/>
            <w:shd w:val="clear" w:color="auto" w:fill="FFFFFF"/>
            <w:vAlign w:val="center"/>
          </w:tcPr>
          <w:p w14:paraId="158987B4">
            <w:pPr>
              <w:numPr>
                <w:ilvl w:val="0"/>
                <w:numId w:val="1"/>
              </w:num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参考规格：腹腔F18-F28；</w:t>
            </w:r>
          </w:p>
          <w:p w14:paraId="063259A6">
            <w:pPr>
              <w:numPr>
                <w:ilvl w:val="0"/>
                <w:numId w:val="1"/>
              </w:num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单位：根</w:t>
            </w:r>
          </w:p>
        </w:tc>
      </w:tr>
      <w:tr w14:paraId="424B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722" w:type="dxa"/>
            <w:shd w:val="clear"/>
            <w:vAlign w:val="center"/>
          </w:tcPr>
          <w:p w14:paraId="3CF480A6">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11</w:t>
            </w:r>
          </w:p>
        </w:tc>
        <w:tc>
          <w:tcPr>
            <w:tcW w:w="1922" w:type="dxa"/>
            <w:shd w:val="clear"/>
            <w:vAlign w:val="center"/>
          </w:tcPr>
          <w:p w14:paraId="5D0F7A77">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洗疮器</w:t>
            </w:r>
          </w:p>
        </w:tc>
        <w:tc>
          <w:tcPr>
            <w:tcW w:w="4000" w:type="dxa"/>
            <w:shd w:val="clear" w:color="auto" w:fill="FFFFFF"/>
            <w:vAlign w:val="center"/>
          </w:tcPr>
          <w:p w14:paraId="4AF7410F">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供创面清洁用。</w:t>
            </w:r>
          </w:p>
        </w:tc>
        <w:tc>
          <w:tcPr>
            <w:tcW w:w="3086" w:type="dxa"/>
            <w:shd w:val="clear" w:color="auto" w:fill="FFFFFF"/>
            <w:vAlign w:val="center"/>
          </w:tcPr>
          <w:p w14:paraId="5B7E0D68">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（1）参考规格：60ml；</w:t>
            </w:r>
            <w:r>
              <w:rPr>
                <w:rFonts w:hint="eastAsia" w:ascii="仿宋_GB2312" w:eastAsia="仿宋_GB2312"/>
                <w:sz w:val="24"/>
                <w:lang w:val="en-US" w:eastAsia="zh-CN"/>
              </w:rPr>
              <w:br w:type="textWrapping"/>
            </w:r>
            <w:r>
              <w:rPr>
                <w:rFonts w:hint="eastAsia" w:ascii="仿宋_GB2312" w:eastAsia="仿宋_GB2312"/>
                <w:sz w:val="24"/>
                <w:lang w:val="en-US" w:eastAsia="zh-CN"/>
              </w:rPr>
              <w:t>（2）单位：个</w:t>
            </w:r>
          </w:p>
        </w:tc>
      </w:tr>
      <w:tr w14:paraId="214F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722" w:type="dxa"/>
            <w:shd w:val="clear"/>
            <w:vAlign w:val="center"/>
          </w:tcPr>
          <w:p w14:paraId="2A3DFF94">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12</w:t>
            </w:r>
          </w:p>
        </w:tc>
        <w:tc>
          <w:tcPr>
            <w:tcW w:w="1922" w:type="dxa"/>
            <w:shd w:val="clear"/>
            <w:vAlign w:val="center"/>
          </w:tcPr>
          <w:p w14:paraId="783C7300">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硅胶管</w:t>
            </w:r>
          </w:p>
        </w:tc>
        <w:tc>
          <w:tcPr>
            <w:tcW w:w="4000" w:type="dxa"/>
            <w:shd w:val="clear" w:color="auto" w:fill="FFFFFF"/>
            <w:vAlign w:val="center"/>
          </w:tcPr>
          <w:p w14:paraId="1A59D3CF">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用于手术后引流。</w:t>
            </w:r>
          </w:p>
        </w:tc>
        <w:tc>
          <w:tcPr>
            <w:tcW w:w="3086" w:type="dxa"/>
            <w:shd w:val="clear" w:color="auto" w:fill="FFFFFF"/>
            <w:vAlign w:val="center"/>
          </w:tcPr>
          <w:p w14:paraId="3E289850">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（1）参考规格：硅胶F10-F30；</w:t>
            </w:r>
            <w:r>
              <w:rPr>
                <w:rFonts w:hint="eastAsia" w:ascii="仿宋_GB2312" w:eastAsia="仿宋_GB2312"/>
                <w:sz w:val="24"/>
                <w:lang w:val="en-US" w:eastAsia="zh-CN"/>
              </w:rPr>
              <w:br w:type="textWrapping"/>
            </w:r>
            <w:r>
              <w:rPr>
                <w:rFonts w:hint="eastAsia" w:ascii="仿宋_GB2312" w:eastAsia="仿宋_GB2312"/>
                <w:sz w:val="24"/>
                <w:lang w:val="en-US" w:eastAsia="zh-CN"/>
              </w:rPr>
              <w:t>（2）单位：根</w:t>
            </w:r>
          </w:p>
        </w:tc>
      </w:tr>
      <w:tr w14:paraId="2D4E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722" w:type="dxa"/>
            <w:shd w:val="clear"/>
            <w:vAlign w:val="center"/>
          </w:tcPr>
          <w:p w14:paraId="39B07B97">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13</w:t>
            </w:r>
          </w:p>
        </w:tc>
        <w:tc>
          <w:tcPr>
            <w:tcW w:w="1922" w:type="dxa"/>
            <w:shd w:val="clear"/>
            <w:vAlign w:val="center"/>
          </w:tcPr>
          <w:p w14:paraId="3D639209">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硅胶引流管</w:t>
            </w:r>
          </w:p>
        </w:tc>
        <w:tc>
          <w:tcPr>
            <w:tcW w:w="4000" w:type="dxa"/>
            <w:shd w:val="clear" w:color="auto" w:fill="FFFFFF"/>
            <w:vAlign w:val="center"/>
          </w:tcPr>
          <w:p w14:paraId="16F6C1A9">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用于手术后引流。</w:t>
            </w:r>
          </w:p>
        </w:tc>
        <w:tc>
          <w:tcPr>
            <w:tcW w:w="3086" w:type="dxa"/>
            <w:shd w:val="clear" w:color="auto" w:fill="FFFFFF"/>
            <w:vAlign w:val="center"/>
          </w:tcPr>
          <w:p w14:paraId="25AF45CE">
            <w:pPr>
              <w:spacing w:after="0" w:line="240" w:lineRule="auto"/>
              <w:jc w:val="both"/>
              <w:rPr>
                <w:rFonts w:hint="eastAsia" w:ascii="仿宋_GB2312" w:eastAsia="仿宋_GB2312"/>
                <w:sz w:val="24"/>
                <w:lang w:val="en-US" w:eastAsia="zh-CN"/>
              </w:rPr>
            </w:pPr>
            <w:r>
              <w:rPr>
                <w:rFonts w:hint="eastAsia" w:ascii="仿宋_GB2312" w:eastAsia="仿宋_GB2312"/>
                <w:sz w:val="24"/>
                <w:lang w:val="en-US" w:eastAsia="zh-CN"/>
              </w:rPr>
              <w:t>（1）参考规格：带刻度硅胶F8-F22，</w:t>
            </w:r>
            <w:r>
              <w:rPr>
                <w:rFonts w:hint="eastAsia" w:ascii="仿宋_GB2312" w:eastAsia="仿宋_GB2312"/>
                <w:sz w:val="24"/>
                <w:lang w:val="en-US" w:eastAsia="zh-CN"/>
              </w:rPr>
              <w:br w:type="textWrapping"/>
            </w:r>
            <w:r>
              <w:rPr>
                <w:rFonts w:hint="eastAsia" w:ascii="仿宋_GB2312" w:eastAsia="仿宋_GB2312"/>
                <w:sz w:val="24"/>
                <w:lang w:val="en-US" w:eastAsia="zh-CN"/>
              </w:rPr>
              <w:t>（2）单位：根</w:t>
            </w:r>
          </w:p>
        </w:tc>
      </w:tr>
      <w:bookmarkEnd w:id="0"/>
      <w:tr w14:paraId="5C1A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4EF3C752">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14</w:t>
            </w:r>
          </w:p>
        </w:tc>
        <w:tc>
          <w:tcPr>
            <w:tcW w:w="1922" w:type="dxa"/>
            <w:shd w:val="clear"/>
            <w:vAlign w:val="center"/>
          </w:tcPr>
          <w:p w14:paraId="76E5683B">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可吸收骨材料</w:t>
            </w:r>
          </w:p>
        </w:tc>
        <w:tc>
          <w:tcPr>
            <w:tcW w:w="4000" w:type="dxa"/>
            <w:shd w:val="clear" w:color="auto" w:fill="FFFFFF"/>
            <w:vAlign w:val="center"/>
          </w:tcPr>
          <w:p w14:paraId="39F461F2">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适用于牙周骨缺损、颌面外科骨缺损的填充。</w:t>
            </w:r>
          </w:p>
        </w:tc>
        <w:tc>
          <w:tcPr>
            <w:tcW w:w="3086" w:type="dxa"/>
            <w:shd w:val="clear" w:color="auto" w:fill="FFFFFF"/>
            <w:vAlign w:val="center"/>
          </w:tcPr>
          <w:p w14:paraId="590EA6BC">
            <w:pPr>
              <w:spacing w:after="0" w:line="240" w:lineRule="auto"/>
              <w:jc w:val="both"/>
              <w:rPr>
                <w:rFonts w:hint="eastAsia" w:ascii="仿宋_GB2312" w:eastAsia="仿宋_GB2312"/>
                <w:sz w:val="24"/>
                <w:lang w:val="en-US" w:eastAsia="zh-CN"/>
              </w:rPr>
            </w:pPr>
            <w:r>
              <w:rPr>
                <w:rFonts w:hint="eastAsia" w:ascii="仿宋_GB2312" w:eastAsia="仿宋_GB2312"/>
                <w:sz w:val="24"/>
                <w:lang w:val="en-US" w:eastAsia="zh-CN"/>
              </w:rPr>
              <w:t>（1）参考规格：2G/L、</w:t>
            </w:r>
            <w:r>
              <w:rPr>
                <w:rFonts w:hint="eastAsia" w:ascii="仿宋_GB2312" w:eastAsia="仿宋_GB2312"/>
                <w:sz w:val="24"/>
                <w:lang w:val="en-US" w:eastAsia="zh-CN"/>
              </w:rPr>
              <w:br w:type="textWrapping"/>
            </w:r>
            <w:r>
              <w:rPr>
                <w:rFonts w:hint="eastAsia" w:ascii="仿宋_GB2312" w:eastAsia="仿宋_GB2312"/>
                <w:sz w:val="24"/>
                <w:lang w:val="en-US" w:eastAsia="zh-CN"/>
              </w:rPr>
              <w:t>2G/S、0.5G/S、0.5G/L、0.25g；</w:t>
            </w:r>
            <w:r>
              <w:rPr>
                <w:rFonts w:hint="eastAsia" w:ascii="仿宋_GB2312" w:eastAsia="仿宋_GB2312"/>
                <w:sz w:val="24"/>
                <w:lang w:val="en-US" w:eastAsia="zh-CN"/>
              </w:rPr>
              <w:br w:type="textWrapping"/>
            </w:r>
            <w:r>
              <w:rPr>
                <w:rFonts w:hint="eastAsia" w:ascii="仿宋_GB2312" w:eastAsia="仿宋_GB2312"/>
                <w:sz w:val="24"/>
                <w:lang w:val="en-US" w:eastAsia="zh-CN"/>
              </w:rPr>
              <w:t>（2）无菌包装，一次性使用</w:t>
            </w:r>
          </w:p>
        </w:tc>
      </w:tr>
      <w:tr w14:paraId="6DF3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11A1C297">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15</w:t>
            </w:r>
          </w:p>
        </w:tc>
        <w:tc>
          <w:tcPr>
            <w:tcW w:w="1922" w:type="dxa"/>
            <w:shd w:val="clear"/>
            <w:vAlign w:val="center"/>
          </w:tcPr>
          <w:p w14:paraId="41089DE4">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可吸收生物膜</w:t>
            </w:r>
          </w:p>
        </w:tc>
        <w:tc>
          <w:tcPr>
            <w:tcW w:w="4000" w:type="dxa"/>
            <w:shd w:val="clear" w:color="auto" w:fill="FFFFFF"/>
            <w:vAlign w:val="center"/>
          </w:tcPr>
          <w:p w14:paraId="755CEAFB">
            <w:pPr>
              <w:spacing w:after="0" w:line="240" w:lineRule="auto"/>
              <w:jc w:val="both"/>
              <w:rPr>
                <w:rFonts w:hint="eastAsia" w:ascii="仿宋_GB2312" w:eastAsia="仿宋_GB2312"/>
                <w:sz w:val="24"/>
                <w:lang w:val="en-US" w:eastAsia="zh-CN"/>
              </w:rPr>
            </w:pPr>
            <w:r>
              <w:rPr>
                <w:rFonts w:hint="eastAsia" w:ascii="仿宋_GB2312" w:eastAsia="仿宋_GB2312"/>
                <w:sz w:val="24"/>
                <w:lang w:val="en-US" w:eastAsia="zh-CN"/>
              </w:rPr>
              <w:t>本品适用于口腔种植牙的同时进行引导骨再生术，拔牙后进行即刻种植时的种植体周围引导骨再生术、拔牙后进行延期种植时的种植体周围引导骨再生术、骨裂型骨缺损区的引导骨再生术、局部牙槽嵴增高术（延期种植手术中应用）、牙槽嵴扩增术（口腔修复治疗中应用）、牙根切除术，口腔囊肿切除术及残根拔除术后的骨缺损区域的填充、牙周骨缺损。</w:t>
            </w:r>
          </w:p>
        </w:tc>
        <w:tc>
          <w:tcPr>
            <w:tcW w:w="3086" w:type="dxa"/>
            <w:shd w:val="clear" w:color="auto" w:fill="FFFFFF"/>
            <w:vAlign w:val="center"/>
          </w:tcPr>
          <w:p w14:paraId="1657F3AD">
            <w:pPr>
              <w:spacing w:after="0" w:line="240" w:lineRule="auto"/>
              <w:jc w:val="both"/>
              <w:rPr>
                <w:rFonts w:hint="eastAsia" w:ascii="仿宋_GB2312" w:eastAsia="仿宋_GB2312"/>
                <w:sz w:val="24"/>
                <w:lang w:val="en-US" w:eastAsia="zh-CN"/>
              </w:rPr>
            </w:pPr>
            <w:r>
              <w:rPr>
                <w:rFonts w:hint="eastAsia" w:ascii="仿宋_GB2312" w:eastAsia="仿宋_GB2312"/>
                <w:sz w:val="24"/>
                <w:lang w:val="en-US" w:eastAsia="zh-CN"/>
              </w:rPr>
              <w:t>（1）参考规格：25*25、</w:t>
            </w:r>
            <w:r>
              <w:rPr>
                <w:rFonts w:hint="eastAsia" w:ascii="仿宋_GB2312" w:eastAsia="仿宋_GB2312"/>
                <w:sz w:val="24"/>
                <w:lang w:val="en-US" w:eastAsia="zh-CN"/>
              </w:rPr>
              <w:br w:type="textWrapping"/>
            </w:r>
            <w:r>
              <w:rPr>
                <w:rFonts w:hint="eastAsia" w:ascii="仿宋_GB2312" w:eastAsia="仿宋_GB2312"/>
                <w:sz w:val="24"/>
                <w:lang w:val="en-US" w:eastAsia="zh-CN"/>
              </w:rPr>
              <w:t>13*25、30*40；</w:t>
            </w:r>
            <w:r>
              <w:rPr>
                <w:rFonts w:hint="eastAsia" w:ascii="仿宋_GB2312" w:eastAsia="仿宋_GB2312"/>
                <w:sz w:val="24"/>
                <w:lang w:val="en-US" w:eastAsia="zh-CN"/>
              </w:rPr>
              <w:br w:type="textWrapping"/>
            </w:r>
            <w:r>
              <w:rPr>
                <w:rFonts w:hint="eastAsia" w:ascii="仿宋_GB2312" w:eastAsia="仿宋_GB2312"/>
                <w:sz w:val="24"/>
                <w:lang w:val="en-US" w:eastAsia="zh-CN"/>
              </w:rPr>
              <w:t>（2）无菌包装，一次性使用</w:t>
            </w:r>
          </w:p>
        </w:tc>
      </w:tr>
      <w:tr w14:paraId="601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40CF0E4A">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16</w:t>
            </w:r>
          </w:p>
        </w:tc>
        <w:tc>
          <w:tcPr>
            <w:tcW w:w="1922" w:type="dxa"/>
            <w:shd w:val="clear"/>
            <w:vAlign w:val="center"/>
          </w:tcPr>
          <w:p w14:paraId="33D89675">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支抗钉（2014）</w:t>
            </w:r>
          </w:p>
        </w:tc>
        <w:tc>
          <w:tcPr>
            <w:tcW w:w="4000" w:type="dxa"/>
            <w:shd w:val="clear" w:color="auto" w:fill="FFFFFF"/>
            <w:vAlign w:val="center"/>
          </w:tcPr>
          <w:p w14:paraId="5C537394">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正畸支抗是一种钛螺钉, 作为一种固定部件植入上颌骨及下颌骨，可抵制牙齿移动时所产生的反作用力，从而辅助牙齿的正畸活动。</w:t>
            </w:r>
          </w:p>
        </w:tc>
        <w:tc>
          <w:tcPr>
            <w:tcW w:w="3086" w:type="dxa"/>
            <w:shd w:val="clear" w:color="auto" w:fill="FFFFFF"/>
            <w:vAlign w:val="center"/>
          </w:tcPr>
          <w:p w14:paraId="21704AD7">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（1）参考规格：6*1.4mm、10*2.0mm、8*1.4mm、12*2.0mm；</w:t>
            </w:r>
            <w:r>
              <w:rPr>
                <w:rFonts w:hint="eastAsia" w:ascii="仿宋_GB2312" w:eastAsia="仿宋_GB2312"/>
                <w:sz w:val="24"/>
                <w:lang w:val="en-US" w:eastAsia="zh-CN"/>
              </w:rPr>
              <w:br w:type="textWrapping"/>
            </w:r>
            <w:r>
              <w:rPr>
                <w:rFonts w:hint="eastAsia" w:ascii="仿宋_GB2312" w:eastAsia="仿宋_GB2312"/>
                <w:sz w:val="24"/>
                <w:lang w:val="en-US" w:eastAsia="zh-CN"/>
              </w:rPr>
              <w:t>（2）一次性使用</w:t>
            </w:r>
          </w:p>
        </w:tc>
      </w:tr>
      <w:tr w14:paraId="7790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6A806B41">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17</w:t>
            </w:r>
          </w:p>
        </w:tc>
        <w:tc>
          <w:tcPr>
            <w:tcW w:w="1922" w:type="dxa"/>
            <w:shd w:val="clear"/>
            <w:vAlign w:val="center"/>
          </w:tcPr>
          <w:p w14:paraId="735BC8BE">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刀片</w:t>
            </w:r>
          </w:p>
        </w:tc>
        <w:tc>
          <w:tcPr>
            <w:tcW w:w="4000" w:type="dxa"/>
            <w:shd w:val="clear" w:color="auto" w:fill="FFFFFF"/>
            <w:vAlign w:val="center"/>
          </w:tcPr>
          <w:p w14:paraId="0DBF87B7">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用于人体手术标本、活检标本、穿刺标本等各类生物组织的精细化切片作业，涵盖普外科、肿瘤科、妇产科、骨科、消化科等多科室送检组织样本，可完成常规病理诊断切片、免疫组化切片、特殊染色切片、科研教学切片等全场景制片工作。适用于各级医院病理科常规石蜡组织切片、冰冻组织切片制备工作，可适配主流全自动、半自动石蜡切片机及冰冻切片机，兼容临床常规标本、疑难软硬组织标本的切片操作。</w:t>
            </w:r>
          </w:p>
        </w:tc>
        <w:tc>
          <w:tcPr>
            <w:tcW w:w="3086" w:type="dxa"/>
            <w:shd w:val="clear" w:color="auto" w:fill="FFFFFF"/>
            <w:vAlign w:val="center"/>
          </w:tcPr>
          <w:p w14:paraId="05829E04">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（1）参考规格：A35、C35、R35；</w:t>
            </w:r>
            <w:r>
              <w:rPr>
                <w:rFonts w:hint="eastAsia" w:ascii="仿宋_GB2312" w:eastAsia="仿宋_GB2312"/>
                <w:sz w:val="24"/>
                <w:lang w:val="en-US" w:eastAsia="zh-CN"/>
              </w:rPr>
              <w:br w:type="textWrapping"/>
            </w:r>
            <w:r>
              <w:rPr>
                <w:rFonts w:hint="eastAsia" w:ascii="仿宋_GB2312" w:eastAsia="仿宋_GB2312"/>
                <w:sz w:val="24"/>
                <w:lang w:val="en-US" w:eastAsia="zh-CN"/>
              </w:rPr>
              <w:t>（2）与我院切片设备配套使用，一次性使用</w:t>
            </w:r>
          </w:p>
        </w:tc>
      </w:tr>
      <w:tr w14:paraId="23966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58722ED0">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18</w:t>
            </w:r>
          </w:p>
        </w:tc>
        <w:tc>
          <w:tcPr>
            <w:tcW w:w="1922" w:type="dxa"/>
            <w:shd w:val="clear"/>
            <w:vAlign w:val="center"/>
          </w:tcPr>
          <w:p w14:paraId="072462A2">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盖膜</w:t>
            </w:r>
          </w:p>
        </w:tc>
        <w:tc>
          <w:tcPr>
            <w:tcW w:w="4000" w:type="dxa"/>
            <w:shd w:val="clear" w:color="auto" w:fill="FFFFFF"/>
            <w:vAlign w:val="center"/>
          </w:tcPr>
          <w:p w14:paraId="4C774F1A">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适用于Sakura Finetek Tissue-Tek Film封片机封片作业。</w:t>
            </w:r>
          </w:p>
        </w:tc>
        <w:tc>
          <w:tcPr>
            <w:tcW w:w="3086" w:type="dxa"/>
            <w:shd w:val="clear" w:color="auto" w:fill="FFFFFF"/>
            <w:vAlign w:val="center"/>
          </w:tcPr>
          <w:p w14:paraId="0D211AA2">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（1）单位：卷；</w:t>
            </w:r>
            <w:r>
              <w:rPr>
                <w:rFonts w:hint="eastAsia" w:ascii="仿宋_GB2312" w:eastAsia="仿宋_GB2312"/>
                <w:sz w:val="24"/>
                <w:lang w:val="en-US" w:eastAsia="zh-CN"/>
              </w:rPr>
              <w:br w:type="textWrapping"/>
            </w:r>
            <w:r>
              <w:rPr>
                <w:rFonts w:hint="eastAsia" w:ascii="仿宋_GB2312" w:eastAsia="仿宋_GB2312"/>
                <w:sz w:val="24"/>
                <w:lang w:val="en-US" w:eastAsia="zh-CN"/>
              </w:rPr>
              <w:t>（2）与设备配套使用，一次性使用</w:t>
            </w:r>
          </w:p>
        </w:tc>
      </w:tr>
      <w:tr w14:paraId="2917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49C664CF">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19</w:t>
            </w:r>
          </w:p>
        </w:tc>
        <w:tc>
          <w:tcPr>
            <w:tcW w:w="1922" w:type="dxa"/>
            <w:shd w:val="clear"/>
            <w:vAlign w:val="center"/>
          </w:tcPr>
          <w:p w14:paraId="510EA3B2">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气囊</w:t>
            </w:r>
          </w:p>
        </w:tc>
        <w:tc>
          <w:tcPr>
            <w:tcW w:w="4000" w:type="dxa"/>
            <w:shd w:val="clear" w:color="auto" w:fill="FFFFFF"/>
            <w:vAlign w:val="center"/>
          </w:tcPr>
          <w:p w14:paraId="19343A57">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经口腔或经肛门插入消化管（十二指肠以下）中，进行狭窄部位的扩张等。</w:t>
            </w:r>
          </w:p>
        </w:tc>
        <w:tc>
          <w:tcPr>
            <w:tcW w:w="3086" w:type="dxa"/>
            <w:shd w:val="clear" w:color="auto" w:fill="FFFFFF"/>
            <w:vAlign w:val="center"/>
          </w:tcPr>
          <w:p w14:paraId="617FAF00">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（1）参考规格：BS-2；</w:t>
            </w:r>
            <w:r>
              <w:rPr>
                <w:rFonts w:hint="eastAsia" w:ascii="仿宋_GB2312" w:eastAsia="仿宋_GB2312"/>
                <w:sz w:val="24"/>
                <w:lang w:val="en-US" w:eastAsia="zh-CN"/>
              </w:rPr>
              <w:br w:type="textWrapping"/>
            </w:r>
            <w:r>
              <w:rPr>
                <w:rFonts w:hint="eastAsia" w:ascii="仿宋_GB2312" w:eastAsia="仿宋_GB2312"/>
                <w:sz w:val="24"/>
                <w:lang w:val="en-US" w:eastAsia="zh-CN"/>
              </w:rPr>
              <w:t>（2）与小肠镜配套使用；</w:t>
            </w:r>
            <w:r>
              <w:rPr>
                <w:rFonts w:hint="eastAsia" w:ascii="仿宋_GB2312" w:eastAsia="仿宋_GB2312"/>
                <w:sz w:val="24"/>
                <w:lang w:val="en-US" w:eastAsia="zh-CN"/>
              </w:rPr>
              <w:br w:type="textWrapping"/>
            </w:r>
            <w:r>
              <w:rPr>
                <w:rFonts w:hint="eastAsia" w:ascii="仿宋_GB2312" w:eastAsia="仿宋_GB2312"/>
                <w:sz w:val="24"/>
                <w:lang w:val="en-US" w:eastAsia="zh-CN"/>
              </w:rPr>
              <w:t>（3）单位：包，一次性使用</w:t>
            </w:r>
          </w:p>
        </w:tc>
      </w:tr>
      <w:tr w14:paraId="13FFF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4A26C327">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20</w:t>
            </w:r>
          </w:p>
        </w:tc>
        <w:tc>
          <w:tcPr>
            <w:tcW w:w="1922" w:type="dxa"/>
            <w:shd w:val="clear"/>
            <w:vAlign w:val="center"/>
          </w:tcPr>
          <w:p w14:paraId="782FBCD6">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外套管</w:t>
            </w:r>
          </w:p>
        </w:tc>
        <w:tc>
          <w:tcPr>
            <w:tcW w:w="4000" w:type="dxa"/>
            <w:shd w:val="clear" w:color="auto" w:fill="FFFFFF"/>
            <w:vAlign w:val="center"/>
          </w:tcPr>
          <w:p w14:paraId="4D9ED8CA">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本产品应在正规的医疗机构内使用，由专业的医生进行管理或操作，用于配合内窥镜插入体腔。</w:t>
            </w:r>
          </w:p>
        </w:tc>
        <w:tc>
          <w:tcPr>
            <w:tcW w:w="3086" w:type="dxa"/>
            <w:shd w:val="clear" w:color="auto" w:fill="FFFFFF"/>
            <w:vAlign w:val="center"/>
          </w:tcPr>
          <w:p w14:paraId="587B97CA">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（1）参考规格：TS-13140；</w:t>
            </w:r>
            <w:r>
              <w:rPr>
                <w:rFonts w:hint="eastAsia" w:ascii="仿宋_GB2312" w:eastAsia="仿宋_GB2312"/>
                <w:sz w:val="24"/>
                <w:lang w:val="en-US" w:eastAsia="zh-CN"/>
              </w:rPr>
              <w:br w:type="textWrapping"/>
            </w:r>
            <w:r>
              <w:rPr>
                <w:rFonts w:hint="eastAsia" w:ascii="仿宋_GB2312" w:eastAsia="仿宋_GB2312"/>
                <w:sz w:val="24"/>
                <w:lang w:val="en-US" w:eastAsia="zh-CN"/>
              </w:rPr>
              <w:t>（2）与小肠镜配套使用；（3）单位：个，一次性使用</w:t>
            </w:r>
          </w:p>
        </w:tc>
      </w:tr>
      <w:tr w14:paraId="613D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74ECEA59">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21</w:t>
            </w:r>
          </w:p>
        </w:tc>
        <w:tc>
          <w:tcPr>
            <w:tcW w:w="1922" w:type="dxa"/>
            <w:shd w:val="clear"/>
            <w:vAlign w:val="center"/>
          </w:tcPr>
          <w:p w14:paraId="39CA3A61">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氩气刀系列耗材</w:t>
            </w:r>
          </w:p>
        </w:tc>
        <w:tc>
          <w:tcPr>
            <w:tcW w:w="4000" w:type="dxa"/>
            <w:shd w:val="clear" w:color="auto" w:fill="FFFFFF"/>
            <w:vAlign w:val="center"/>
          </w:tcPr>
          <w:p w14:paraId="6C5A75CD">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氩气电极产品用于在医疗机构中配合ERBE水刀和高频设备（VIO系列）使用，与单极电切和电凝相结合，用于对消化道、膀胱组织进行隆起、切开、冲洗和剥离；对呼吸道、胸膜组织进行隆起、切开和剥离。产品配合水刀和高频设备使用，分别通过不同的脚踏开关控制。</w:t>
            </w:r>
            <w:r>
              <w:rPr>
                <w:rFonts w:hint="eastAsia" w:ascii="仿宋_GB2312" w:eastAsia="仿宋_GB2312"/>
                <w:sz w:val="24"/>
                <w:lang w:val="en-US" w:eastAsia="zh-CN"/>
              </w:rPr>
              <w:br w:type="textWrapping"/>
            </w:r>
            <w:r>
              <w:rPr>
                <w:rFonts w:hint="eastAsia" w:ascii="仿宋_GB2312" w:eastAsia="仿宋_GB2312"/>
                <w:sz w:val="24"/>
                <w:lang w:val="en-US" w:eastAsia="zh-CN"/>
              </w:rPr>
              <w:br w:type="textWrapping"/>
            </w:r>
            <w:r>
              <w:rPr>
                <w:rFonts w:hint="eastAsia" w:ascii="仿宋_GB2312" w:eastAsia="仿宋_GB2312"/>
                <w:sz w:val="24"/>
                <w:lang w:val="en-US" w:eastAsia="zh-CN"/>
              </w:rPr>
              <w:t>氩气手柄产品是一种用于与德国爱尔博电子医疗仪器公司生产的氩气控制器APC300/VIO APC2/VIO APC3适配的电极，设计用于高频手术中对血管、组织进行止血和消融。</w:t>
            </w:r>
            <w:r>
              <w:rPr>
                <w:rFonts w:hint="eastAsia" w:ascii="仿宋_GB2312" w:eastAsia="仿宋_GB2312"/>
                <w:sz w:val="24"/>
                <w:lang w:val="en-US" w:eastAsia="zh-CN"/>
              </w:rPr>
              <w:br w:type="textWrapping"/>
            </w:r>
            <w:r>
              <w:rPr>
                <w:rFonts w:hint="eastAsia" w:ascii="仿宋_GB2312" w:eastAsia="仿宋_GB2312"/>
                <w:sz w:val="24"/>
                <w:lang w:val="en-US" w:eastAsia="zh-CN"/>
              </w:rPr>
              <w:br w:type="textWrapping"/>
            </w:r>
            <w:r>
              <w:rPr>
                <w:rFonts w:hint="eastAsia" w:ascii="仿宋_GB2312" w:eastAsia="仿宋_GB2312"/>
                <w:sz w:val="24"/>
                <w:lang w:val="en-US" w:eastAsia="zh-CN"/>
              </w:rPr>
              <w:t>负极板导线用于连接高频发生器与内镜下治疗用单极器械，如圈套器、切开刀、热凝钳等器械；负极板已带量。</w:t>
            </w:r>
            <w:r>
              <w:rPr>
                <w:rFonts w:hint="eastAsia" w:ascii="仿宋_GB2312" w:eastAsia="仿宋_GB2312"/>
                <w:sz w:val="24"/>
                <w:lang w:val="en-US" w:eastAsia="zh-CN"/>
              </w:rPr>
              <w:br w:type="textWrapping"/>
            </w:r>
            <w:r>
              <w:rPr>
                <w:rFonts w:hint="eastAsia" w:ascii="仿宋_GB2312" w:eastAsia="仿宋_GB2312"/>
                <w:sz w:val="24"/>
                <w:lang w:val="en-US" w:eastAsia="zh-CN"/>
              </w:rPr>
              <w:br w:type="textWrapping"/>
            </w:r>
            <w:r>
              <w:rPr>
                <w:rFonts w:hint="eastAsia" w:ascii="仿宋_GB2312" w:eastAsia="仿宋_GB2312"/>
                <w:sz w:val="24"/>
                <w:lang w:val="en-US" w:eastAsia="zh-CN"/>
              </w:rPr>
              <w:t>水刀产品在医疗机构使用，利用高压水束进行外科手术，可对人体组织进行选择性分离。其中ERBEJET 2水刀用于标记、冲洗、提拉和解剖组织。ESM 2抽吸模块配合水刀使用，用于分泌物、血液、组织、切割介质及其他液体的抽吸。</w:t>
            </w:r>
          </w:p>
        </w:tc>
        <w:tc>
          <w:tcPr>
            <w:tcW w:w="3086" w:type="dxa"/>
            <w:shd w:val="clear" w:color="auto" w:fill="FFFFFF"/>
            <w:vAlign w:val="center"/>
          </w:tcPr>
          <w:p w14:paraId="48955F8B">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（1）与本院设备配套使用；</w:t>
            </w:r>
            <w:r>
              <w:rPr>
                <w:rFonts w:hint="eastAsia" w:ascii="仿宋_GB2312" w:eastAsia="仿宋_GB2312"/>
                <w:sz w:val="24"/>
                <w:lang w:val="en-US" w:eastAsia="zh-CN"/>
              </w:rPr>
              <w:br w:type="textWrapping"/>
            </w:r>
            <w:r>
              <w:rPr>
                <w:rFonts w:hint="eastAsia" w:ascii="仿宋_GB2312" w:eastAsia="仿宋_GB2312"/>
                <w:sz w:val="24"/>
                <w:lang w:val="en-US" w:eastAsia="zh-CN"/>
              </w:rPr>
              <w:br w:type="textWrapping"/>
            </w:r>
            <w:r>
              <w:rPr>
                <w:rFonts w:hint="eastAsia" w:ascii="仿宋_GB2312" w:eastAsia="仿宋_GB2312"/>
                <w:sz w:val="24"/>
                <w:lang w:val="en-US" w:eastAsia="zh-CN"/>
              </w:rPr>
              <w:t>（2）分为：氩气电极，氩气手柄，负极板导线，水刀等氩气刀系列产品，可独立报价。</w:t>
            </w:r>
            <w:r>
              <w:rPr>
                <w:rFonts w:hint="eastAsia" w:ascii="仿宋_GB2312" w:eastAsia="仿宋_GB2312"/>
                <w:sz w:val="24"/>
                <w:lang w:val="en-US" w:eastAsia="zh-CN"/>
              </w:rPr>
              <w:br w:type="textWrapping"/>
            </w:r>
            <w:r>
              <w:rPr>
                <w:rFonts w:hint="eastAsia" w:ascii="仿宋_GB2312" w:eastAsia="仿宋_GB2312"/>
                <w:sz w:val="24"/>
                <w:lang w:val="en-US" w:eastAsia="zh-CN"/>
              </w:rPr>
              <w:br w:type="textWrapping"/>
            </w:r>
            <w:r>
              <w:rPr>
                <w:rFonts w:hint="eastAsia" w:ascii="仿宋_GB2312" w:eastAsia="仿宋_GB2312"/>
                <w:sz w:val="24"/>
                <w:lang w:val="en-US" w:eastAsia="zh-CN"/>
              </w:rPr>
              <w:t>（3）单位：个</w:t>
            </w:r>
          </w:p>
        </w:tc>
      </w:tr>
      <w:tr w14:paraId="3065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22" w:type="dxa"/>
            <w:shd w:val="clear"/>
            <w:vAlign w:val="center"/>
          </w:tcPr>
          <w:p w14:paraId="5899A8B8">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22</w:t>
            </w:r>
          </w:p>
        </w:tc>
        <w:tc>
          <w:tcPr>
            <w:tcW w:w="1922" w:type="dxa"/>
            <w:shd w:val="clear"/>
            <w:vAlign w:val="center"/>
          </w:tcPr>
          <w:p w14:paraId="7E58AA2F">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冷冻探针</w:t>
            </w:r>
          </w:p>
        </w:tc>
        <w:tc>
          <w:tcPr>
            <w:tcW w:w="4000" w:type="dxa"/>
            <w:shd w:val="clear" w:color="auto" w:fill="FFFFFF"/>
            <w:vAlign w:val="center"/>
          </w:tcPr>
          <w:p w14:paraId="741E3181">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通过焦耳汤姆逊原理快速吸收周围热量，达到制冷效果冰形成冰球;适用于在支气管窥镜检查或干预性肺病治疗中进行的冷冻粘连和失活处理。</w:t>
            </w:r>
          </w:p>
        </w:tc>
        <w:tc>
          <w:tcPr>
            <w:tcW w:w="3086" w:type="dxa"/>
            <w:shd w:val="clear" w:color="auto" w:fill="FFFFFF"/>
            <w:vAlign w:val="center"/>
          </w:tcPr>
          <w:p w14:paraId="768F7332">
            <w:pPr>
              <w:spacing w:after="0" w:line="240" w:lineRule="auto"/>
              <w:jc w:val="left"/>
              <w:rPr>
                <w:rFonts w:hint="eastAsia" w:ascii="仿宋_GB2312" w:eastAsia="仿宋_GB2312"/>
                <w:sz w:val="24"/>
                <w:lang w:val="en-US" w:eastAsia="zh-CN"/>
              </w:rPr>
            </w:pPr>
            <w:r>
              <w:rPr>
                <w:rFonts w:hint="eastAsia" w:ascii="仿宋_GB2312" w:eastAsia="仿宋_GB2312"/>
                <w:sz w:val="24"/>
                <w:lang w:val="en-US" w:eastAsia="zh-CN"/>
              </w:rPr>
              <w:t>（1）与我院内镜下的冷冻治疗设备配合使用；</w:t>
            </w:r>
            <w:r>
              <w:rPr>
                <w:rFonts w:hint="eastAsia" w:ascii="仿宋_GB2312" w:eastAsia="仿宋_GB2312"/>
                <w:sz w:val="24"/>
                <w:lang w:val="en-US" w:eastAsia="zh-CN"/>
              </w:rPr>
              <w:br w:type="textWrapping"/>
            </w:r>
            <w:r>
              <w:rPr>
                <w:rFonts w:hint="eastAsia" w:ascii="仿宋_GB2312" w:eastAsia="仿宋_GB2312"/>
                <w:sz w:val="24"/>
                <w:lang w:val="en-US" w:eastAsia="zh-CN"/>
              </w:rPr>
              <w:t>（3）单位：个</w:t>
            </w:r>
          </w:p>
        </w:tc>
      </w:tr>
    </w:tbl>
    <w:p w14:paraId="01A4CB2F">
      <w:pPr>
        <w:keepNext w:val="0"/>
        <w:keepLines w:val="0"/>
        <w:widowControl/>
        <w:suppressLineNumbers w:val="0"/>
        <w:jc w:val="both"/>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瀹嬩綋">
    <w:altName w:val="宋体"/>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BCB2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E45AF9">
                          <w:pPr>
                            <w:pStyle w:val="1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E45AF9">
                    <w:pPr>
                      <w:pStyle w:val="1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5489F0"/>
    <w:multiLevelType w:val="singleLevel"/>
    <w:tmpl w:val="125489F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ZjNjZhYzdjZjdiY2IyYTg2MTQwNWM5ZWE2MjRhM2UifQ=="/>
  </w:docVars>
  <w:rsids>
    <w:rsidRoot w:val="00172A27"/>
    <w:rsid w:val="00013944"/>
    <w:rsid w:val="0001394D"/>
    <w:rsid w:val="00016EBC"/>
    <w:rsid w:val="00020C1F"/>
    <w:rsid w:val="00021503"/>
    <w:rsid w:val="00022629"/>
    <w:rsid w:val="00027F78"/>
    <w:rsid w:val="00032C99"/>
    <w:rsid w:val="0003375C"/>
    <w:rsid w:val="00033897"/>
    <w:rsid w:val="00035F1B"/>
    <w:rsid w:val="0004279D"/>
    <w:rsid w:val="000453B0"/>
    <w:rsid w:val="0005247D"/>
    <w:rsid w:val="0005248E"/>
    <w:rsid w:val="0005399F"/>
    <w:rsid w:val="00053BE3"/>
    <w:rsid w:val="00055237"/>
    <w:rsid w:val="00055DFE"/>
    <w:rsid w:val="000570E4"/>
    <w:rsid w:val="000602F0"/>
    <w:rsid w:val="000607C3"/>
    <w:rsid w:val="00062302"/>
    <w:rsid w:val="000644F4"/>
    <w:rsid w:val="000706C2"/>
    <w:rsid w:val="0007138D"/>
    <w:rsid w:val="0007206B"/>
    <w:rsid w:val="00074EBE"/>
    <w:rsid w:val="00076827"/>
    <w:rsid w:val="00084014"/>
    <w:rsid w:val="000857BF"/>
    <w:rsid w:val="00085B26"/>
    <w:rsid w:val="00091836"/>
    <w:rsid w:val="00096A14"/>
    <w:rsid w:val="00097B78"/>
    <w:rsid w:val="000A441F"/>
    <w:rsid w:val="000A54E6"/>
    <w:rsid w:val="000A580C"/>
    <w:rsid w:val="000A6F08"/>
    <w:rsid w:val="000A71DA"/>
    <w:rsid w:val="000A7321"/>
    <w:rsid w:val="000B0104"/>
    <w:rsid w:val="000B33F8"/>
    <w:rsid w:val="000B369C"/>
    <w:rsid w:val="000B3903"/>
    <w:rsid w:val="000B41DA"/>
    <w:rsid w:val="000B4D19"/>
    <w:rsid w:val="000C3760"/>
    <w:rsid w:val="000C3E5F"/>
    <w:rsid w:val="000C51C0"/>
    <w:rsid w:val="000D1536"/>
    <w:rsid w:val="000D2456"/>
    <w:rsid w:val="000D7383"/>
    <w:rsid w:val="000E3024"/>
    <w:rsid w:val="000E4EFD"/>
    <w:rsid w:val="000E6476"/>
    <w:rsid w:val="000F1681"/>
    <w:rsid w:val="000F3588"/>
    <w:rsid w:val="000F621C"/>
    <w:rsid w:val="000F7A68"/>
    <w:rsid w:val="0010003F"/>
    <w:rsid w:val="00102C9B"/>
    <w:rsid w:val="0010397A"/>
    <w:rsid w:val="00105DEE"/>
    <w:rsid w:val="00127B11"/>
    <w:rsid w:val="001363A0"/>
    <w:rsid w:val="00137781"/>
    <w:rsid w:val="00140A3C"/>
    <w:rsid w:val="0014177A"/>
    <w:rsid w:val="00142EC6"/>
    <w:rsid w:val="00146DA9"/>
    <w:rsid w:val="00147575"/>
    <w:rsid w:val="001525F0"/>
    <w:rsid w:val="00163864"/>
    <w:rsid w:val="001653A7"/>
    <w:rsid w:val="00170142"/>
    <w:rsid w:val="001707D4"/>
    <w:rsid w:val="00172FF3"/>
    <w:rsid w:val="001741E0"/>
    <w:rsid w:val="00180F4E"/>
    <w:rsid w:val="00181192"/>
    <w:rsid w:val="00182E02"/>
    <w:rsid w:val="00183B83"/>
    <w:rsid w:val="00184ED7"/>
    <w:rsid w:val="00185856"/>
    <w:rsid w:val="001903B4"/>
    <w:rsid w:val="00190651"/>
    <w:rsid w:val="001936DD"/>
    <w:rsid w:val="00195981"/>
    <w:rsid w:val="00196160"/>
    <w:rsid w:val="001A18F6"/>
    <w:rsid w:val="001A6106"/>
    <w:rsid w:val="001A7306"/>
    <w:rsid w:val="001B07EC"/>
    <w:rsid w:val="001B2AD6"/>
    <w:rsid w:val="001B3625"/>
    <w:rsid w:val="001B5B42"/>
    <w:rsid w:val="001B7912"/>
    <w:rsid w:val="001C62CC"/>
    <w:rsid w:val="001D4477"/>
    <w:rsid w:val="001D6C9B"/>
    <w:rsid w:val="001E197A"/>
    <w:rsid w:val="001E293F"/>
    <w:rsid w:val="001E3A59"/>
    <w:rsid w:val="001E6665"/>
    <w:rsid w:val="001E74F6"/>
    <w:rsid w:val="001F02DA"/>
    <w:rsid w:val="001F1FA4"/>
    <w:rsid w:val="001F6D28"/>
    <w:rsid w:val="002109FB"/>
    <w:rsid w:val="00220121"/>
    <w:rsid w:val="002203A1"/>
    <w:rsid w:val="00220A56"/>
    <w:rsid w:val="00224285"/>
    <w:rsid w:val="0022704D"/>
    <w:rsid w:val="00227922"/>
    <w:rsid w:val="00230465"/>
    <w:rsid w:val="0023130D"/>
    <w:rsid w:val="0023147A"/>
    <w:rsid w:val="00232051"/>
    <w:rsid w:val="002343C9"/>
    <w:rsid w:val="002348CB"/>
    <w:rsid w:val="002364DD"/>
    <w:rsid w:val="0023797B"/>
    <w:rsid w:val="00242695"/>
    <w:rsid w:val="00245FB7"/>
    <w:rsid w:val="00247AC2"/>
    <w:rsid w:val="00251510"/>
    <w:rsid w:val="002552E9"/>
    <w:rsid w:val="00255838"/>
    <w:rsid w:val="00256EBA"/>
    <w:rsid w:val="00257CBD"/>
    <w:rsid w:val="002606CD"/>
    <w:rsid w:val="002616E8"/>
    <w:rsid w:val="002619E1"/>
    <w:rsid w:val="0026223A"/>
    <w:rsid w:val="0026256C"/>
    <w:rsid w:val="00262D11"/>
    <w:rsid w:val="00262F78"/>
    <w:rsid w:val="002646A7"/>
    <w:rsid w:val="002668B9"/>
    <w:rsid w:val="0027248D"/>
    <w:rsid w:val="002734D2"/>
    <w:rsid w:val="002755B0"/>
    <w:rsid w:val="00276A29"/>
    <w:rsid w:val="002811B1"/>
    <w:rsid w:val="00283754"/>
    <w:rsid w:val="00285E55"/>
    <w:rsid w:val="0028639A"/>
    <w:rsid w:val="002868C4"/>
    <w:rsid w:val="00291686"/>
    <w:rsid w:val="00291ABF"/>
    <w:rsid w:val="00292271"/>
    <w:rsid w:val="00292AE8"/>
    <w:rsid w:val="002A0A68"/>
    <w:rsid w:val="002A1EC5"/>
    <w:rsid w:val="002A3631"/>
    <w:rsid w:val="002A45F0"/>
    <w:rsid w:val="002A579F"/>
    <w:rsid w:val="002B23B0"/>
    <w:rsid w:val="002B3E22"/>
    <w:rsid w:val="002B58CA"/>
    <w:rsid w:val="002B6279"/>
    <w:rsid w:val="002B7585"/>
    <w:rsid w:val="002C0BAD"/>
    <w:rsid w:val="002C1D46"/>
    <w:rsid w:val="002C39B1"/>
    <w:rsid w:val="002D5849"/>
    <w:rsid w:val="002D5E7C"/>
    <w:rsid w:val="002E5A1A"/>
    <w:rsid w:val="002E5A65"/>
    <w:rsid w:val="002F0400"/>
    <w:rsid w:val="002F0D09"/>
    <w:rsid w:val="002F1298"/>
    <w:rsid w:val="002F1773"/>
    <w:rsid w:val="002F3946"/>
    <w:rsid w:val="002F5F9C"/>
    <w:rsid w:val="002F62B1"/>
    <w:rsid w:val="00303C22"/>
    <w:rsid w:val="00303C41"/>
    <w:rsid w:val="003055D0"/>
    <w:rsid w:val="00307DF9"/>
    <w:rsid w:val="003107C6"/>
    <w:rsid w:val="003166F7"/>
    <w:rsid w:val="00320FC6"/>
    <w:rsid w:val="00321080"/>
    <w:rsid w:val="00321A14"/>
    <w:rsid w:val="00322403"/>
    <w:rsid w:val="00323E1C"/>
    <w:rsid w:val="00324645"/>
    <w:rsid w:val="003274B9"/>
    <w:rsid w:val="00327AF8"/>
    <w:rsid w:val="003320B5"/>
    <w:rsid w:val="00333489"/>
    <w:rsid w:val="00335A8F"/>
    <w:rsid w:val="00335B55"/>
    <w:rsid w:val="00336189"/>
    <w:rsid w:val="00336454"/>
    <w:rsid w:val="00337243"/>
    <w:rsid w:val="00337270"/>
    <w:rsid w:val="003406AD"/>
    <w:rsid w:val="003412A6"/>
    <w:rsid w:val="003414EC"/>
    <w:rsid w:val="00343469"/>
    <w:rsid w:val="00351264"/>
    <w:rsid w:val="003519D8"/>
    <w:rsid w:val="003549CE"/>
    <w:rsid w:val="0035517E"/>
    <w:rsid w:val="0035577C"/>
    <w:rsid w:val="00356C9C"/>
    <w:rsid w:val="0036551F"/>
    <w:rsid w:val="0036772A"/>
    <w:rsid w:val="00367C5F"/>
    <w:rsid w:val="00375338"/>
    <w:rsid w:val="00375556"/>
    <w:rsid w:val="003770CD"/>
    <w:rsid w:val="0038208D"/>
    <w:rsid w:val="00391D95"/>
    <w:rsid w:val="00393A83"/>
    <w:rsid w:val="003946A2"/>
    <w:rsid w:val="003A0D4C"/>
    <w:rsid w:val="003A460E"/>
    <w:rsid w:val="003A4D9E"/>
    <w:rsid w:val="003A67F4"/>
    <w:rsid w:val="003B455C"/>
    <w:rsid w:val="003B5CC9"/>
    <w:rsid w:val="003C2706"/>
    <w:rsid w:val="003C5DB6"/>
    <w:rsid w:val="003C7BFE"/>
    <w:rsid w:val="003D1734"/>
    <w:rsid w:val="003D3F4A"/>
    <w:rsid w:val="003D7CE1"/>
    <w:rsid w:val="003E697E"/>
    <w:rsid w:val="003E7971"/>
    <w:rsid w:val="003E7D4E"/>
    <w:rsid w:val="003F5B3B"/>
    <w:rsid w:val="00404D17"/>
    <w:rsid w:val="00406C2A"/>
    <w:rsid w:val="00407D6F"/>
    <w:rsid w:val="00410BD4"/>
    <w:rsid w:val="00411A64"/>
    <w:rsid w:val="0041572D"/>
    <w:rsid w:val="00417598"/>
    <w:rsid w:val="00424AE1"/>
    <w:rsid w:val="004250FA"/>
    <w:rsid w:val="004269A9"/>
    <w:rsid w:val="00426BF4"/>
    <w:rsid w:val="00427B7B"/>
    <w:rsid w:val="0043519D"/>
    <w:rsid w:val="00441869"/>
    <w:rsid w:val="0044438B"/>
    <w:rsid w:val="004447E9"/>
    <w:rsid w:val="00445429"/>
    <w:rsid w:val="00447927"/>
    <w:rsid w:val="0045074D"/>
    <w:rsid w:val="00452FE1"/>
    <w:rsid w:val="00453335"/>
    <w:rsid w:val="004621E0"/>
    <w:rsid w:val="00462DA2"/>
    <w:rsid w:val="004637EC"/>
    <w:rsid w:val="00465226"/>
    <w:rsid w:val="00470A3C"/>
    <w:rsid w:val="00470DF6"/>
    <w:rsid w:val="00471BC4"/>
    <w:rsid w:val="00472E38"/>
    <w:rsid w:val="004807DD"/>
    <w:rsid w:val="00482472"/>
    <w:rsid w:val="00482ED1"/>
    <w:rsid w:val="0049461B"/>
    <w:rsid w:val="00494792"/>
    <w:rsid w:val="00494BFD"/>
    <w:rsid w:val="004A46BB"/>
    <w:rsid w:val="004A51B2"/>
    <w:rsid w:val="004A55C6"/>
    <w:rsid w:val="004A6C5F"/>
    <w:rsid w:val="004B06F2"/>
    <w:rsid w:val="004B45C9"/>
    <w:rsid w:val="004B5BC2"/>
    <w:rsid w:val="004B60DE"/>
    <w:rsid w:val="004B7611"/>
    <w:rsid w:val="004C2048"/>
    <w:rsid w:val="004C6146"/>
    <w:rsid w:val="004C7071"/>
    <w:rsid w:val="004D41F5"/>
    <w:rsid w:val="004D43AB"/>
    <w:rsid w:val="004D670C"/>
    <w:rsid w:val="004D7495"/>
    <w:rsid w:val="004D7B4A"/>
    <w:rsid w:val="004F63E8"/>
    <w:rsid w:val="004F6ED1"/>
    <w:rsid w:val="004F7563"/>
    <w:rsid w:val="005043FC"/>
    <w:rsid w:val="00506061"/>
    <w:rsid w:val="005063A2"/>
    <w:rsid w:val="0051012B"/>
    <w:rsid w:val="005105A3"/>
    <w:rsid w:val="00511FCC"/>
    <w:rsid w:val="005120A8"/>
    <w:rsid w:val="00513AA8"/>
    <w:rsid w:val="00514B55"/>
    <w:rsid w:val="00515156"/>
    <w:rsid w:val="00517334"/>
    <w:rsid w:val="005228E0"/>
    <w:rsid w:val="00524203"/>
    <w:rsid w:val="00524500"/>
    <w:rsid w:val="00545A45"/>
    <w:rsid w:val="00552325"/>
    <w:rsid w:val="0055272B"/>
    <w:rsid w:val="0055413B"/>
    <w:rsid w:val="00554342"/>
    <w:rsid w:val="00554C80"/>
    <w:rsid w:val="005568A0"/>
    <w:rsid w:val="005569B4"/>
    <w:rsid w:val="0056089D"/>
    <w:rsid w:val="005623FC"/>
    <w:rsid w:val="00564449"/>
    <w:rsid w:val="0056734D"/>
    <w:rsid w:val="0057153C"/>
    <w:rsid w:val="00572E56"/>
    <w:rsid w:val="00575062"/>
    <w:rsid w:val="005849C9"/>
    <w:rsid w:val="00584B80"/>
    <w:rsid w:val="00587B50"/>
    <w:rsid w:val="0059462D"/>
    <w:rsid w:val="00594B45"/>
    <w:rsid w:val="00596C59"/>
    <w:rsid w:val="005A0F7D"/>
    <w:rsid w:val="005A1D1A"/>
    <w:rsid w:val="005A77A0"/>
    <w:rsid w:val="005B2D57"/>
    <w:rsid w:val="005B3E86"/>
    <w:rsid w:val="005C3BA0"/>
    <w:rsid w:val="005C40E1"/>
    <w:rsid w:val="005D0ED4"/>
    <w:rsid w:val="005D4DA1"/>
    <w:rsid w:val="005D7250"/>
    <w:rsid w:val="005E2C02"/>
    <w:rsid w:val="005E429A"/>
    <w:rsid w:val="005E73F6"/>
    <w:rsid w:val="005E7774"/>
    <w:rsid w:val="005F011C"/>
    <w:rsid w:val="005F039E"/>
    <w:rsid w:val="005F068B"/>
    <w:rsid w:val="005F1759"/>
    <w:rsid w:val="005F2105"/>
    <w:rsid w:val="005F752D"/>
    <w:rsid w:val="006028DA"/>
    <w:rsid w:val="00602E47"/>
    <w:rsid w:val="00602F99"/>
    <w:rsid w:val="00604598"/>
    <w:rsid w:val="00605F7A"/>
    <w:rsid w:val="00610F5C"/>
    <w:rsid w:val="00612C81"/>
    <w:rsid w:val="00614D13"/>
    <w:rsid w:val="006161A6"/>
    <w:rsid w:val="00620C00"/>
    <w:rsid w:val="00631F92"/>
    <w:rsid w:val="00640937"/>
    <w:rsid w:val="00643113"/>
    <w:rsid w:val="00643C13"/>
    <w:rsid w:val="00653646"/>
    <w:rsid w:val="00653887"/>
    <w:rsid w:val="00665505"/>
    <w:rsid w:val="006659CA"/>
    <w:rsid w:val="00667536"/>
    <w:rsid w:val="00672FCF"/>
    <w:rsid w:val="00673654"/>
    <w:rsid w:val="006767E4"/>
    <w:rsid w:val="00677CF4"/>
    <w:rsid w:val="00680A7A"/>
    <w:rsid w:val="00682EE0"/>
    <w:rsid w:val="006832BA"/>
    <w:rsid w:val="00687883"/>
    <w:rsid w:val="006927E2"/>
    <w:rsid w:val="006931AC"/>
    <w:rsid w:val="00693EEC"/>
    <w:rsid w:val="006A663B"/>
    <w:rsid w:val="006B05D7"/>
    <w:rsid w:val="006B0741"/>
    <w:rsid w:val="006B4349"/>
    <w:rsid w:val="006B4661"/>
    <w:rsid w:val="006B7CB4"/>
    <w:rsid w:val="006B7E78"/>
    <w:rsid w:val="006C08D4"/>
    <w:rsid w:val="006C2569"/>
    <w:rsid w:val="006C7DBE"/>
    <w:rsid w:val="006D2703"/>
    <w:rsid w:val="006D5571"/>
    <w:rsid w:val="006D69BA"/>
    <w:rsid w:val="006E1108"/>
    <w:rsid w:val="006F05F9"/>
    <w:rsid w:val="006F0ABC"/>
    <w:rsid w:val="006F1193"/>
    <w:rsid w:val="007028EE"/>
    <w:rsid w:val="00704459"/>
    <w:rsid w:val="00705529"/>
    <w:rsid w:val="007062C4"/>
    <w:rsid w:val="00711C10"/>
    <w:rsid w:val="007126FB"/>
    <w:rsid w:val="00714969"/>
    <w:rsid w:val="007159EA"/>
    <w:rsid w:val="00716894"/>
    <w:rsid w:val="00723B26"/>
    <w:rsid w:val="0073063C"/>
    <w:rsid w:val="0073173C"/>
    <w:rsid w:val="00732423"/>
    <w:rsid w:val="007337D3"/>
    <w:rsid w:val="00733E51"/>
    <w:rsid w:val="007402A3"/>
    <w:rsid w:val="007414BA"/>
    <w:rsid w:val="00743143"/>
    <w:rsid w:val="00743767"/>
    <w:rsid w:val="007504D3"/>
    <w:rsid w:val="00751947"/>
    <w:rsid w:val="00754B7D"/>
    <w:rsid w:val="00754F4B"/>
    <w:rsid w:val="007602FD"/>
    <w:rsid w:val="00761159"/>
    <w:rsid w:val="0076361B"/>
    <w:rsid w:val="00763C99"/>
    <w:rsid w:val="00764112"/>
    <w:rsid w:val="00770027"/>
    <w:rsid w:val="00774783"/>
    <w:rsid w:val="00776B18"/>
    <w:rsid w:val="00782CC3"/>
    <w:rsid w:val="007837C0"/>
    <w:rsid w:val="00783913"/>
    <w:rsid w:val="00784BB8"/>
    <w:rsid w:val="00785396"/>
    <w:rsid w:val="00785AFB"/>
    <w:rsid w:val="00787EB7"/>
    <w:rsid w:val="0079014C"/>
    <w:rsid w:val="00791BE0"/>
    <w:rsid w:val="007A3A18"/>
    <w:rsid w:val="007A7272"/>
    <w:rsid w:val="007A7489"/>
    <w:rsid w:val="007B4926"/>
    <w:rsid w:val="007C2CBA"/>
    <w:rsid w:val="007C4B88"/>
    <w:rsid w:val="007C77B8"/>
    <w:rsid w:val="007D02B2"/>
    <w:rsid w:val="007D2DB9"/>
    <w:rsid w:val="007D5F99"/>
    <w:rsid w:val="007D608A"/>
    <w:rsid w:val="007D650B"/>
    <w:rsid w:val="007D7079"/>
    <w:rsid w:val="007D7286"/>
    <w:rsid w:val="007E4C63"/>
    <w:rsid w:val="007F380D"/>
    <w:rsid w:val="007F47DD"/>
    <w:rsid w:val="007F5D8D"/>
    <w:rsid w:val="007F7E8C"/>
    <w:rsid w:val="008079AF"/>
    <w:rsid w:val="00807EE9"/>
    <w:rsid w:val="0081000B"/>
    <w:rsid w:val="00821F07"/>
    <w:rsid w:val="00822A89"/>
    <w:rsid w:val="008236FB"/>
    <w:rsid w:val="00827E57"/>
    <w:rsid w:val="00831F17"/>
    <w:rsid w:val="00832358"/>
    <w:rsid w:val="008347F6"/>
    <w:rsid w:val="008352FE"/>
    <w:rsid w:val="00840D75"/>
    <w:rsid w:val="0084274B"/>
    <w:rsid w:val="008458B9"/>
    <w:rsid w:val="00851171"/>
    <w:rsid w:val="00853E61"/>
    <w:rsid w:val="00855D97"/>
    <w:rsid w:val="008579D4"/>
    <w:rsid w:val="00861349"/>
    <w:rsid w:val="00862FFB"/>
    <w:rsid w:val="0086323C"/>
    <w:rsid w:val="00863363"/>
    <w:rsid w:val="008667B8"/>
    <w:rsid w:val="0087036A"/>
    <w:rsid w:val="008715F0"/>
    <w:rsid w:val="00876DF2"/>
    <w:rsid w:val="00880814"/>
    <w:rsid w:val="008833A3"/>
    <w:rsid w:val="0088342B"/>
    <w:rsid w:val="00886D0E"/>
    <w:rsid w:val="0088768E"/>
    <w:rsid w:val="00887D0C"/>
    <w:rsid w:val="008B397E"/>
    <w:rsid w:val="008C1E66"/>
    <w:rsid w:val="008C5310"/>
    <w:rsid w:val="008C697C"/>
    <w:rsid w:val="008D1236"/>
    <w:rsid w:val="008D1A82"/>
    <w:rsid w:val="008D3D0E"/>
    <w:rsid w:val="008D51A6"/>
    <w:rsid w:val="008D67E5"/>
    <w:rsid w:val="008E4064"/>
    <w:rsid w:val="008E45DB"/>
    <w:rsid w:val="008E50D5"/>
    <w:rsid w:val="008F298A"/>
    <w:rsid w:val="008F3EF9"/>
    <w:rsid w:val="008F480C"/>
    <w:rsid w:val="008F7205"/>
    <w:rsid w:val="008F7D1C"/>
    <w:rsid w:val="00900518"/>
    <w:rsid w:val="0090085D"/>
    <w:rsid w:val="009073AC"/>
    <w:rsid w:val="0090789E"/>
    <w:rsid w:val="00910E0C"/>
    <w:rsid w:val="00910E80"/>
    <w:rsid w:val="00913529"/>
    <w:rsid w:val="00915E63"/>
    <w:rsid w:val="0092060D"/>
    <w:rsid w:val="009333FB"/>
    <w:rsid w:val="0093425B"/>
    <w:rsid w:val="0093428A"/>
    <w:rsid w:val="009371F5"/>
    <w:rsid w:val="00942414"/>
    <w:rsid w:val="00943FCC"/>
    <w:rsid w:val="00945E16"/>
    <w:rsid w:val="009515A6"/>
    <w:rsid w:val="0096104A"/>
    <w:rsid w:val="00961645"/>
    <w:rsid w:val="0096164E"/>
    <w:rsid w:val="00966264"/>
    <w:rsid w:val="009666F7"/>
    <w:rsid w:val="00972EA5"/>
    <w:rsid w:val="00974E88"/>
    <w:rsid w:val="00975447"/>
    <w:rsid w:val="009809F4"/>
    <w:rsid w:val="0098125F"/>
    <w:rsid w:val="009812AA"/>
    <w:rsid w:val="009864EB"/>
    <w:rsid w:val="00987B99"/>
    <w:rsid w:val="00992219"/>
    <w:rsid w:val="0099246E"/>
    <w:rsid w:val="009935FE"/>
    <w:rsid w:val="0099616D"/>
    <w:rsid w:val="00996730"/>
    <w:rsid w:val="009A49AB"/>
    <w:rsid w:val="009A7136"/>
    <w:rsid w:val="009B1957"/>
    <w:rsid w:val="009B2BF1"/>
    <w:rsid w:val="009C7C66"/>
    <w:rsid w:val="009D67F2"/>
    <w:rsid w:val="009D68FE"/>
    <w:rsid w:val="009E6E26"/>
    <w:rsid w:val="009F1F10"/>
    <w:rsid w:val="009F27C2"/>
    <w:rsid w:val="009F55B2"/>
    <w:rsid w:val="00A014C5"/>
    <w:rsid w:val="00A025F1"/>
    <w:rsid w:val="00A03818"/>
    <w:rsid w:val="00A069A7"/>
    <w:rsid w:val="00A122B4"/>
    <w:rsid w:val="00A1448E"/>
    <w:rsid w:val="00A1757E"/>
    <w:rsid w:val="00A176E4"/>
    <w:rsid w:val="00A21AF7"/>
    <w:rsid w:val="00A34092"/>
    <w:rsid w:val="00A4278D"/>
    <w:rsid w:val="00A42E7D"/>
    <w:rsid w:val="00A54934"/>
    <w:rsid w:val="00A54B0A"/>
    <w:rsid w:val="00A54F87"/>
    <w:rsid w:val="00A551FD"/>
    <w:rsid w:val="00A55726"/>
    <w:rsid w:val="00A6635C"/>
    <w:rsid w:val="00A66725"/>
    <w:rsid w:val="00A66921"/>
    <w:rsid w:val="00A73444"/>
    <w:rsid w:val="00A75B8A"/>
    <w:rsid w:val="00A8067D"/>
    <w:rsid w:val="00A81239"/>
    <w:rsid w:val="00A87920"/>
    <w:rsid w:val="00A91C8B"/>
    <w:rsid w:val="00A93750"/>
    <w:rsid w:val="00A946E0"/>
    <w:rsid w:val="00A94D38"/>
    <w:rsid w:val="00A96608"/>
    <w:rsid w:val="00A97B18"/>
    <w:rsid w:val="00AA1201"/>
    <w:rsid w:val="00AB2F32"/>
    <w:rsid w:val="00AB39FA"/>
    <w:rsid w:val="00AB594C"/>
    <w:rsid w:val="00AB62AD"/>
    <w:rsid w:val="00AC1D23"/>
    <w:rsid w:val="00AC1E47"/>
    <w:rsid w:val="00AE3149"/>
    <w:rsid w:val="00AE332D"/>
    <w:rsid w:val="00AE5D35"/>
    <w:rsid w:val="00AE7ADA"/>
    <w:rsid w:val="00AF117D"/>
    <w:rsid w:val="00AF5568"/>
    <w:rsid w:val="00AF5BBB"/>
    <w:rsid w:val="00B00AEE"/>
    <w:rsid w:val="00B01FF2"/>
    <w:rsid w:val="00B02DD9"/>
    <w:rsid w:val="00B03DDF"/>
    <w:rsid w:val="00B05762"/>
    <w:rsid w:val="00B07D48"/>
    <w:rsid w:val="00B132F5"/>
    <w:rsid w:val="00B14872"/>
    <w:rsid w:val="00B16034"/>
    <w:rsid w:val="00B20F4F"/>
    <w:rsid w:val="00B27679"/>
    <w:rsid w:val="00B277A8"/>
    <w:rsid w:val="00B3152C"/>
    <w:rsid w:val="00B32AFB"/>
    <w:rsid w:val="00B344FE"/>
    <w:rsid w:val="00B432A3"/>
    <w:rsid w:val="00B4595A"/>
    <w:rsid w:val="00B463CC"/>
    <w:rsid w:val="00B5419B"/>
    <w:rsid w:val="00B54422"/>
    <w:rsid w:val="00B558C5"/>
    <w:rsid w:val="00B61785"/>
    <w:rsid w:val="00B62A2D"/>
    <w:rsid w:val="00B647D6"/>
    <w:rsid w:val="00B65EA1"/>
    <w:rsid w:val="00B67B89"/>
    <w:rsid w:val="00B72B2A"/>
    <w:rsid w:val="00B77280"/>
    <w:rsid w:val="00B804A0"/>
    <w:rsid w:val="00B80B44"/>
    <w:rsid w:val="00B80DB2"/>
    <w:rsid w:val="00B8141B"/>
    <w:rsid w:val="00B85157"/>
    <w:rsid w:val="00B86D2C"/>
    <w:rsid w:val="00B91EF1"/>
    <w:rsid w:val="00B925AB"/>
    <w:rsid w:val="00BA15B0"/>
    <w:rsid w:val="00BA3C75"/>
    <w:rsid w:val="00BA4F1A"/>
    <w:rsid w:val="00BA5372"/>
    <w:rsid w:val="00BA6DA3"/>
    <w:rsid w:val="00BA7488"/>
    <w:rsid w:val="00BB3241"/>
    <w:rsid w:val="00BB45AE"/>
    <w:rsid w:val="00BB6726"/>
    <w:rsid w:val="00BC5504"/>
    <w:rsid w:val="00BC64C7"/>
    <w:rsid w:val="00BD0F70"/>
    <w:rsid w:val="00BD0FC0"/>
    <w:rsid w:val="00BD46F6"/>
    <w:rsid w:val="00BD6A52"/>
    <w:rsid w:val="00BE1EE2"/>
    <w:rsid w:val="00BE284D"/>
    <w:rsid w:val="00BE61AB"/>
    <w:rsid w:val="00BE6B37"/>
    <w:rsid w:val="00BF1F07"/>
    <w:rsid w:val="00BF3C3B"/>
    <w:rsid w:val="00BF5547"/>
    <w:rsid w:val="00BF5728"/>
    <w:rsid w:val="00C048E8"/>
    <w:rsid w:val="00C04978"/>
    <w:rsid w:val="00C05262"/>
    <w:rsid w:val="00C10F4A"/>
    <w:rsid w:val="00C12DF4"/>
    <w:rsid w:val="00C20652"/>
    <w:rsid w:val="00C23455"/>
    <w:rsid w:val="00C31CB9"/>
    <w:rsid w:val="00C320BA"/>
    <w:rsid w:val="00C35A16"/>
    <w:rsid w:val="00C36927"/>
    <w:rsid w:val="00C40888"/>
    <w:rsid w:val="00C44FD1"/>
    <w:rsid w:val="00C477DC"/>
    <w:rsid w:val="00C502A4"/>
    <w:rsid w:val="00C50825"/>
    <w:rsid w:val="00C51471"/>
    <w:rsid w:val="00C56C6E"/>
    <w:rsid w:val="00C573C8"/>
    <w:rsid w:val="00C6004E"/>
    <w:rsid w:val="00C6039A"/>
    <w:rsid w:val="00C62E06"/>
    <w:rsid w:val="00C63DFE"/>
    <w:rsid w:val="00C65430"/>
    <w:rsid w:val="00C668E8"/>
    <w:rsid w:val="00C72568"/>
    <w:rsid w:val="00C73B3E"/>
    <w:rsid w:val="00C74090"/>
    <w:rsid w:val="00C84D27"/>
    <w:rsid w:val="00C87FD4"/>
    <w:rsid w:val="00C93607"/>
    <w:rsid w:val="00C946A2"/>
    <w:rsid w:val="00C96F12"/>
    <w:rsid w:val="00CA14A4"/>
    <w:rsid w:val="00CA5400"/>
    <w:rsid w:val="00CA577A"/>
    <w:rsid w:val="00CC5571"/>
    <w:rsid w:val="00CD01EC"/>
    <w:rsid w:val="00CE2E05"/>
    <w:rsid w:val="00CE51D8"/>
    <w:rsid w:val="00CE76FD"/>
    <w:rsid w:val="00CF0DF9"/>
    <w:rsid w:val="00CF6802"/>
    <w:rsid w:val="00CF75D0"/>
    <w:rsid w:val="00CF7743"/>
    <w:rsid w:val="00D015CC"/>
    <w:rsid w:val="00D01CB5"/>
    <w:rsid w:val="00D01E10"/>
    <w:rsid w:val="00D021BA"/>
    <w:rsid w:val="00D024B2"/>
    <w:rsid w:val="00D03A93"/>
    <w:rsid w:val="00D03B6D"/>
    <w:rsid w:val="00D03BD5"/>
    <w:rsid w:val="00D03C79"/>
    <w:rsid w:val="00D122DB"/>
    <w:rsid w:val="00D12CE4"/>
    <w:rsid w:val="00D15AE2"/>
    <w:rsid w:val="00D15EC5"/>
    <w:rsid w:val="00D1710E"/>
    <w:rsid w:val="00D21285"/>
    <w:rsid w:val="00D2184F"/>
    <w:rsid w:val="00D25827"/>
    <w:rsid w:val="00D277ED"/>
    <w:rsid w:val="00D31A8D"/>
    <w:rsid w:val="00D33660"/>
    <w:rsid w:val="00D413D4"/>
    <w:rsid w:val="00D42049"/>
    <w:rsid w:val="00D442FF"/>
    <w:rsid w:val="00D502D7"/>
    <w:rsid w:val="00D51456"/>
    <w:rsid w:val="00D521AC"/>
    <w:rsid w:val="00D60A90"/>
    <w:rsid w:val="00D617F3"/>
    <w:rsid w:val="00D63602"/>
    <w:rsid w:val="00D6708A"/>
    <w:rsid w:val="00D71BF2"/>
    <w:rsid w:val="00D7325E"/>
    <w:rsid w:val="00D73D8F"/>
    <w:rsid w:val="00D75A92"/>
    <w:rsid w:val="00D80EA5"/>
    <w:rsid w:val="00D847C3"/>
    <w:rsid w:val="00D907BA"/>
    <w:rsid w:val="00D90BB4"/>
    <w:rsid w:val="00D911C2"/>
    <w:rsid w:val="00D919B3"/>
    <w:rsid w:val="00D92077"/>
    <w:rsid w:val="00D941E4"/>
    <w:rsid w:val="00DA0643"/>
    <w:rsid w:val="00DA0AF9"/>
    <w:rsid w:val="00DA2130"/>
    <w:rsid w:val="00DA29EF"/>
    <w:rsid w:val="00DA2A77"/>
    <w:rsid w:val="00DA3317"/>
    <w:rsid w:val="00DA4A13"/>
    <w:rsid w:val="00DA5AA1"/>
    <w:rsid w:val="00DA7189"/>
    <w:rsid w:val="00DA777F"/>
    <w:rsid w:val="00DB32CF"/>
    <w:rsid w:val="00DB6282"/>
    <w:rsid w:val="00DC3020"/>
    <w:rsid w:val="00DC3C66"/>
    <w:rsid w:val="00DD0212"/>
    <w:rsid w:val="00DD0246"/>
    <w:rsid w:val="00DD242A"/>
    <w:rsid w:val="00DD28B2"/>
    <w:rsid w:val="00DD4619"/>
    <w:rsid w:val="00DD6C03"/>
    <w:rsid w:val="00DE12A9"/>
    <w:rsid w:val="00DF1CDF"/>
    <w:rsid w:val="00DF3184"/>
    <w:rsid w:val="00E01C49"/>
    <w:rsid w:val="00E026E0"/>
    <w:rsid w:val="00E039CF"/>
    <w:rsid w:val="00E13585"/>
    <w:rsid w:val="00E20ECB"/>
    <w:rsid w:val="00E21987"/>
    <w:rsid w:val="00E21D36"/>
    <w:rsid w:val="00E24315"/>
    <w:rsid w:val="00E31933"/>
    <w:rsid w:val="00E36D90"/>
    <w:rsid w:val="00E43CEA"/>
    <w:rsid w:val="00E447F2"/>
    <w:rsid w:val="00E454DF"/>
    <w:rsid w:val="00E52785"/>
    <w:rsid w:val="00E53A9E"/>
    <w:rsid w:val="00E55D17"/>
    <w:rsid w:val="00E56A26"/>
    <w:rsid w:val="00E60988"/>
    <w:rsid w:val="00E71D98"/>
    <w:rsid w:val="00E81226"/>
    <w:rsid w:val="00E87E3E"/>
    <w:rsid w:val="00E91070"/>
    <w:rsid w:val="00E935AF"/>
    <w:rsid w:val="00E976AB"/>
    <w:rsid w:val="00EA33A9"/>
    <w:rsid w:val="00EA3A61"/>
    <w:rsid w:val="00EA5C51"/>
    <w:rsid w:val="00EB2078"/>
    <w:rsid w:val="00EB573F"/>
    <w:rsid w:val="00EB6B7C"/>
    <w:rsid w:val="00EC438D"/>
    <w:rsid w:val="00EC6E9D"/>
    <w:rsid w:val="00ED0D28"/>
    <w:rsid w:val="00ED1769"/>
    <w:rsid w:val="00ED2258"/>
    <w:rsid w:val="00ED26D8"/>
    <w:rsid w:val="00ED2EA2"/>
    <w:rsid w:val="00ED3BF6"/>
    <w:rsid w:val="00ED4EF9"/>
    <w:rsid w:val="00ED61AD"/>
    <w:rsid w:val="00ED688B"/>
    <w:rsid w:val="00EE1D4C"/>
    <w:rsid w:val="00EE2BC0"/>
    <w:rsid w:val="00EE5324"/>
    <w:rsid w:val="00EF00B8"/>
    <w:rsid w:val="00EF32B6"/>
    <w:rsid w:val="00EF4BEE"/>
    <w:rsid w:val="00F15F10"/>
    <w:rsid w:val="00F17871"/>
    <w:rsid w:val="00F240B4"/>
    <w:rsid w:val="00F24B5E"/>
    <w:rsid w:val="00F26DD5"/>
    <w:rsid w:val="00F3075F"/>
    <w:rsid w:val="00F3243B"/>
    <w:rsid w:val="00F34887"/>
    <w:rsid w:val="00F35420"/>
    <w:rsid w:val="00F443FF"/>
    <w:rsid w:val="00F4441B"/>
    <w:rsid w:val="00F46035"/>
    <w:rsid w:val="00F462CD"/>
    <w:rsid w:val="00F4765A"/>
    <w:rsid w:val="00F50586"/>
    <w:rsid w:val="00F521C8"/>
    <w:rsid w:val="00F52703"/>
    <w:rsid w:val="00F54481"/>
    <w:rsid w:val="00F573B8"/>
    <w:rsid w:val="00F72729"/>
    <w:rsid w:val="00F756F6"/>
    <w:rsid w:val="00F75B2A"/>
    <w:rsid w:val="00F839D9"/>
    <w:rsid w:val="00F86AAE"/>
    <w:rsid w:val="00F87D11"/>
    <w:rsid w:val="00F922A0"/>
    <w:rsid w:val="00F930CF"/>
    <w:rsid w:val="00F9417B"/>
    <w:rsid w:val="00F9507B"/>
    <w:rsid w:val="00F950B9"/>
    <w:rsid w:val="00F956DC"/>
    <w:rsid w:val="00FA246F"/>
    <w:rsid w:val="00FA41BD"/>
    <w:rsid w:val="00FA507C"/>
    <w:rsid w:val="00FA6293"/>
    <w:rsid w:val="00FA7CC3"/>
    <w:rsid w:val="00FB0FF4"/>
    <w:rsid w:val="00FB5337"/>
    <w:rsid w:val="00FB588F"/>
    <w:rsid w:val="00FC421D"/>
    <w:rsid w:val="00FC5D3C"/>
    <w:rsid w:val="00FD016C"/>
    <w:rsid w:val="00FD0DC8"/>
    <w:rsid w:val="00FD10AE"/>
    <w:rsid w:val="00FD154E"/>
    <w:rsid w:val="00FD4721"/>
    <w:rsid w:val="00FD5F25"/>
    <w:rsid w:val="00FE732A"/>
    <w:rsid w:val="00FE7520"/>
    <w:rsid w:val="00FF0C15"/>
    <w:rsid w:val="00FF1232"/>
    <w:rsid w:val="00FF7BA3"/>
    <w:rsid w:val="014700E2"/>
    <w:rsid w:val="01F14CE0"/>
    <w:rsid w:val="037203C5"/>
    <w:rsid w:val="03E2192C"/>
    <w:rsid w:val="074B43FE"/>
    <w:rsid w:val="07A7766F"/>
    <w:rsid w:val="08B7145E"/>
    <w:rsid w:val="09266EBF"/>
    <w:rsid w:val="0A0308E8"/>
    <w:rsid w:val="0B1A05A9"/>
    <w:rsid w:val="0BE04CB5"/>
    <w:rsid w:val="0D3E6AD9"/>
    <w:rsid w:val="0D51691A"/>
    <w:rsid w:val="0EE11390"/>
    <w:rsid w:val="11530944"/>
    <w:rsid w:val="11FB153D"/>
    <w:rsid w:val="1358474D"/>
    <w:rsid w:val="137919F8"/>
    <w:rsid w:val="13E93015"/>
    <w:rsid w:val="158418B2"/>
    <w:rsid w:val="16ED1B40"/>
    <w:rsid w:val="17A92035"/>
    <w:rsid w:val="18DD5A2F"/>
    <w:rsid w:val="1C7C094E"/>
    <w:rsid w:val="1CC6432B"/>
    <w:rsid w:val="1D9A54C4"/>
    <w:rsid w:val="1E122D9D"/>
    <w:rsid w:val="1E8F50B3"/>
    <w:rsid w:val="1EE62D9C"/>
    <w:rsid w:val="20681EAC"/>
    <w:rsid w:val="24CF3471"/>
    <w:rsid w:val="265D14AB"/>
    <w:rsid w:val="27EC6CE6"/>
    <w:rsid w:val="28D54E3A"/>
    <w:rsid w:val="2B023C9A"/>
    <w:rsid w:val="2DD527DC"/>
    <w:rsid w:val="2F643F15"/>
    <w:rsid w:val="2FE20FC1"/>
    <w:rsid w:val="32CA4075"/>
    <w:rsid w:val="335D7E9A"/>
    <w:rsid w:val="34AB4315"/>
    <w:rsid w:val="356B3142"/>
    <w:rsid w:val="37365F55"/>
    <w:rsid w:val="3A39372C"/>
    <w:rsid w:val="3A527660"/>
    <w:rsid w:val="3B343771"/>
    <w:rsid w:val="3C5E513F"/>
    <w:rsid w:val="3C636D00"/>
    <w:rsid w:val="410C4C6A"/>
    <w:rsid w:val="41F52311"/>
    <w:rsid w:val="43A84F1F"/>
    <w:rsid w:val="45387A5E"/>
    <w:rsid w:val="4672270A"/>
    <w:rsid w:val="4832149E"/>
    <w:rsid w:val="49A90707"/>
    <w:rsid w:val="4AF3715C"/>
    <w:rsid w:val="4B1732F9"/>
    <w:rsid w:val="4B565ABD"/>
    <w:rsid w:val="4EB04E8F"/>
    <w:rsid w:val="519B5E22"/>
    <w:rsid w:val="54BF6A40"/>
    <w:rsid w:val="54F163E6"/>
    <w:rsid w:val="55004E22"/>
    <w:rsid w:val="55FB201C"/>
    <w:rsid w:val="5B081F00"/>
    <w:rsid w:val="5D063A72"/>
    <w:rsid w:val="5D266159"/>
    <w:rsid w:val="5F1E4B69"/>
    <w:rsid w:val="5F661166"/>
    <w:rsid w:val="603008EB"/>
    <w:rsid w:val="60593313"/>
    <w:rsid w:val="639D76D8"/>
    <w:rsid w:val="648D14BE"/>
    <w:rsid w:val="65D901DC"/>
    <w:rsid w:val="67900534"/>
    <w:rsid w:val="680C4CB3"/>
    <w:rsid w:val="6834633E"/>
    <w:rsid w:val="6C206676"/>
    <w:rsid w:val="6C372CBC"/>
    <w:rsid w:val="6D6A1120"/>
    <w:rsid w:val="6DAE6A19"/>
    <w:rsid w:val="6F296E0F"/>
    <w:rsid w:val="6FC969CA"/>
    <w:rsid w:val="722A19B3"/>
    <w:rsid w:val="76B8542C"/>
    <w:rsid w:val="777D20D6"/>
    <w:rsid w:val="789C0277"/>
    <w:rsid w:val="79DA29BD"/>
    <w:rsid w:val="7B2D19F8"/>
    <w:rsid w:val="7C690205"/>
    <w:rsid w:val="7D9875BE"/>
    <w:rsid w:val="7E1A151F"/>
    <w:rsid w:val="7F866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5"/>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7"/>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8"/>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2"/>
    <w:semiHidden/>
    <w:unhideWhenUsed/>
    <w:qFormat/>
    <w:uiPriority w:val="99"/>
  </w:style>
  <w:style w:type="paragraph" w:styleId="12">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21"/>
    <w:unhideWhenUsed/>
    <w:qFormat/>
    <w:uiPriority w:val="0"/>
    <w:pPr>
      <w:tabs>
        <w:tab w:val="center" w:pos="4153"/>
        <w:tab w:val="right" w:pos="8306"/>
      </w:tabs>
      <w:adjustRightInd w:val="0"/>
      <w:snapToGrid w:val="0"/>
      <w:spacing w:after="0" w:line="240" w:lineRule="auto"/>
      <w:jc w:val="center"/>
    </w:pPr>
    <w:rPr>
      <w:rFonts w:ascii="Times New Roman" w:hAnsi="Times New Roman" w:eastAsia="仿宋_GB2312"/>
      <w:sz w:val="18"/>
      <w:szCs w:val="18"/>
    </w:rPr>
  </w:style>
  <w:style w:type="paragraph" w:styleId="14">
    <w:name w:val="Subtitle"/>
    <w:basedOn w:val="1"/>
    <w:next w:val="1"/>
    <w:link w:val="32"/>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1"/>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3"/>
    <w:semiHidden/>
    <w:unhideWhenUsed/>
    <w:qFormat/>
    <w:uiPriority w:val="99"/>
    <w:rPr>
      <w:b/>
      <w:bCs/>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annotation reference"/>
    <w:basedOn w:val="19"/>
    <w:semiHidden/>
    <w:unhideWhenUsed/>
    <w:qFormat/>
    <w:uiPriority w:val="99"/>
    <w:rPr>
      <w:sz w:val="21"/>
      <w:szCs w:val="21"/>
    </w:rPr>
  </w:style>
  <w:style w:type="character" w:customStyle="1" w:styleId="21">
    <w:name w:val="页眉 字符"/>
    <w:basedOn w:val="19"/>
    <w:link w:val="13"/>
    <w:qFormat/>
    <w:uiPriority w:val="0"/>
    <w:rPr>
      <w:rFonts w:ascii="Times New Roman" w:hAnsi="Times New Roman" w:eastAsia="仿宋_GB2312"/>
      <w:sz w:val="18"/>
      <w:szCs w:val="18"/>
    </w:rPr>
  </w:style>
  <w:style w:type="character" w:customStyle="1" w:styleId="22">
    <w:name w:val="标题 1 字符"/>
    <w:basedOn w:val="19"/>
    <w:link w:val="2"/>
    <w:qFormat/>
    <w:uiPriority w:val="9"/>
    <w:rPr>
      <w:rFonts w:asciiTheme="majorHAnsi" w:hAnsiTheme="majorHAnsi" w:eastAsiaTheme="majorEastAsia" w:cstheme="majorBidi"/>
      <w:color w:val="2F5597" w:themeColor="accent1" w:themeShade="BF"/>
      <w:sz w:val="48"/>
      <w:szCs w:val="48"/>
    </w:rPr>
  </w:style>
  <w:style w:type="character" w:customStyle="1" w:styleId="23">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4">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标题 4 字符"/>
    <w:basedOn w:val="19"/>
    <w:link w:val="5"/>
    <w:semiHidden/>
    <w:qFormat/>
    <w:uiPriority w:val="9"/>
    <w:rPr>
      <w:rFonts w:cstheme="majorBidi"/>
      <w:color w:val="2F5597" w:themeColor="accent1" w:themeShade="BF"/>
      <w:sz w:val="28"/>
      <w:szCs w:val="28"/>
    </w:rPr>
  </w:style>
  <w:style w:type="character" w:customStyle="1" w:styleId="26">
    <w:name w:val="标题 5 字符"/>
    <w:basedOn w:val="19"/>
    <w:link w:val="6"/>
    <w:semiHidden/>
    <w:qFormat/>
    <w:uiPriority w:val="9"/>
    <w:rPr>
      <w:rFonts w:cstheme="majorBidi"/>
      <w:color w:val="2F5597" w:themeColor="accent1" w:themeShade="BF"/>
      <w:sz w:val="24"/>
    </w:rPr>
  </w:style>
  <w:style w:type="character" w:customStyle="1" w:styleId="27">
    <w:name w:val="标题 6 字符"/>
    <w:basedOn w:val="19"/>
    <w:link w:val="7"/>
    <w:semiHidden/>
    <w:qFormat/>
    <w:uiPriority w:val="9"/>
    <w:rPr>
      <w:rFonts w:cstheme="majorBidi"/>
      <w:b/>
      <w:bCs/>
      <w:color w:val="2F5597" w:themeColor="accent1" w:themeShade="BF"/>
    </w:rPr>
  </w:style>
  <w:style w:type="character" w:customStyle="1" w:styleId="28">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19"/>
    <w:link w:val="15"/>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19"/>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明显强调1"/>
    <w:basedOn w:val="19"/>
    <w:qFormat/>
    <w:uiPriority w:val="21"/>
    <w:rPr>
      <w:i/>
      <w:iCs/>
      <w:color w:val="2F5597" w:themeColor="accent1" w:themeShade="BF"/>
    </w:rPr>
  </w:style>
  <w:style w:type="paragraph" w:styleId="37">
    <w:name w:val="Intense Quote"/>
    <w:basedOn w:val="1"/>
    <w:next w:val="1"/>
    <w:link w:val="3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8">
    <w:name w:val="明显引用 字符"/>
    <w:basedOn w:val="19"/>
    <w:link w:val="37"/>
    <w:qFormat/>
    <w:uiPriority w:val="30"/>
    <w:rPr>
      <w:i/>
      <w:iCs/>
      <w:color w:val="2F5597" w:themeColor="accent1" w:themeShade="BF"/>
    </w:rPr>
  </w:style>
  <w:style w:type="character" w:customStyle="1" w:styleId="39">
    <w:name w:val="明显参考1"/>
    <w:basedOn w:val="19"/>
    <w:qFormat/>
    <w:uiPriority w:val="32"/>
    <w:rPr>
      <w:b/>
      <w:bCs/>
      <w:smallCaps/>
      <w:color w:val="2F5597" w:themeColor="accent1" w:themeShade="BF"/>
      <w:spacing w:val="5"/>
    </w:rPr>
  </w:style>
  <w:style w:type="character" w:customStyle="1" w:styleId="40">
    <w:name w:val="页脚 字符"/>
    <w:basedOn w:val="19"/>
    <w:link w:val="12"/>
    <w:qFormat/>
    <w:uiPriority w:val="99"/>
    <w:rPr>
      <w:sz w:val="18"/>
      <w:szCs w:val="18"/>
    </w:rPr>
  </w:style>
  <w:style w:type="paragraph" w:customStyle="1" w:styleId="41">
    <w:name w:val="修订1"/>
    <w:hidden/>
    <w:semiHidden/>
    <w:qFormat/>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42">
    <w:name w:val="批注文字 字符"/>
    <w:basedOn w:val="19"/>
    <w:link w:val="11"/>
    <w:semiHidden/>
    <w:qFormat/>
    <w:uiPriority w:val="99"/>
  </w:style>
  <w:style w:type="character" w:customStyle="1" w:styleId="43">
    <w:name w:val="批注主题 字符"/>
    <w:basedOn w:val="42"/>
    <w:link w:val="16"/>
    <w:semiHidden/>
    <w:qFormat/>
    <w:uiPriority w:val="99"/>
    <w:rPr>
      <w:b/>
      <w:bCs/>
    </w:rPr>
  </w:style>
  <w:style w:type="character" w:customStyle="1" w:styleId="44">
    <w:name w:val="font31"/>
    <w:basedOn w:val="19"/>
    <w:qFormat/>
    <w:uiPriority w:val="0"/>
    <w:rPr>
      <w:rFonts w:ascii="Calibri" w:hAnsi="Calibri" w:cs="Calibri"/>
      <w:color w:val="000000"/>
      <w:sz w:val="24"/>
      <w:szCs w:val="24"/>
      <w:u w:val="none"/>
    </w:rPr>
  </w:style>
  <w:style w:type="character" w:customStyle="1" w:styleId="45">
    <w:name w:val="font21"/>
    <w:basedOn w:val="19"/>
    <w:qFormat/>
    <w:uiPriority w:val="0"/>
    <w:rPr>
      <w:rFonts w:hint="eastAsia" w:ascii="宋体" w:hAnsi="宋体" w:eastAsia="宋体" w:cs="宋体"/>
      <w:color w:val="000000"/>
      <w:sz w:val="24"/>
      <w:szCs w:val="24"/>
      <w:u w:val="none"/>
    </w:rPr>
  </w:style>
  <w:style w:type="character" w:customStyle="1" w:styleId="46">
    <w:name w:val="font01"/>
    <w:basedOn w:val="19"/>
    <w:qFormat/>
    <w:uiPriority w:val="0"/>
    <w:rPr>
      <w:rFonts w:hint="eastAsia" w:ascii="宋体" w:hAnsi="宋体" w:eastAsia="宋体" w:cs="宋体"/>
      <w:color w:val="000000"/>
      <w:sz w:val="22"/>
      <w:szCs w:val="22"/>
      <w:u w:val="none"/>
    </w:rPr>
  </w:style>
  <w:style w:type="character" w:customStyle="1" w:styleId="47">
    <w:name w:val="font41"/>
    <w:basedOn w:val="19"/>
    <w:qFormat/>
    <w:uiPriority w:val="0"/>
    <w:rPr>
      <w:rFonts w:hint="eastAsia" w:ascii="宋体" w:hAnsi="宋体" w:eastAsia="宋体" w:cs="宋体"/>
      <w:color w:val="000000"/>
      <w:sz w:val="22"/>
      <w:szCs w:val="22"/>
      <w:u w:val="none"/>
      <w:vertAlign w:val="superscript"/>
    </w:rPr>
  </w:style>
  <w:style w:type="character" w:customStyle="1" w:styleId="48">
    <w:name w:val="font51"/>
    <w:basedOn w:val="19"/>
    <w:qFormat/>
    <w:uiPriority w:val="0"/>
    <w:rPr>
      <w:rFonts w:hint="eastAsia" w:ascii="宋体" w:hAnsi="宋体" w:eastAsia="宋体" w:cs="宋体"/>
      <w:color w:val="000000"/>
      <w:sz w:val="22"/>
      <w:szCs w:val="22"/>
      <w:u w:val="none"/>
    </w:rPr>
  </w:style>
  <w:style w:type="character" w:customStyle="1" w:styleId="49">
    <w:name w:val="font61"/>
    <w:basedOn w:val="19"/>
    <w:qFormat/>
    <w:uiPriority w:val="0"/>
    <w:rPr>
      <w:rFonts w:hint="eastAsia" w:ascii="宋体" w:hAnsi="宋体" w:eastAsia="宋体" w:cs="宋体"/>
      <w:color w:val="FF0000"/>
      <w:sz w:val="22"/>
      <w:szCs w:val="22"/>
      <w:u w:val="none"/>
    </w:rPr>
  </w:style>
  <w:style w:type="character" w:customStyle="1" w:styleId="50">
    <w:name w:val="font1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06FC44-E1EF-4128-A4C1-BE76627744C1}">
  <ds:schemaRefs/>
</ds:datastoreItem>
</file>

<file path=docProps/app.xml><?xml version="1.0" encoding="utf-8"?>
<Properties xmlns="http://schemas.openxmlformats.org/officeDocument/2006/extended-properties" xmlns:vt="http://schemas.openxmlformats.org/officeDocument/2006/docPropsVTypes">
  <Template>Normal</Template>
  <Pages>4</Pages>
  <Words>225</Words>
  <Characters>233</Characters>
  <Lines>12</Lines>
  <Paragraphs>15</Paragraphs>
  <TotalTime>2</TotalTime>
  <ScaleCrop>false</ScaleCrop>
  <LinksUpToDate>false</LinksUpToDate>
  <CharactersWithSpaces>234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2025-07-17T09:14:00Z</dcterms:created>
  <dc:creator>fei yu</dc:creator>
  <cp:lastModifiedBy>33</cp:lastModifiedBy>
  <cp:lastPrinted>2025-07-17T08:55:00Z</cp:lastPrinted>
  <dcterms:modified xsi:type="dcterms:W3CDTF">2026-09-29T10:56:28Z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eyJoZGlkIjoiMDg5ZTdiM2E0Y2I0ODA2NmNiOGUzNTQ3ODBkZDAzMjMiLCJ1c2VySWQiOiI0MjYyOTA0ODkifQ==</vt:lpwstr>
  </property>
  <property fmtid="{D5CDD505-2E9C-101B-9397-08002B2CF9AE}" pid="3" name="KSOProductBuildVer">
    <vt:lpwstr>2052-12.1.0.28505</vt:lpwstr>
  </property>
  <property fmtid="{D5CDD505-2E9C-101B-9397-08002B2CF9AE}" pid="4" name="ICV">
    <vt:lpwstr>08E9B0163F16432A8D883F7A3674FF85_13</vt:lpwstr>
  </property>
</Properties>
</file>